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718B" w14:textId="77777777" w:rsidR="003C0BFA" w:rsidRPr="00A401DB" w:rsidRDefault="003C0BFA" w:rsidP="003C0BFA">
      <w:pPr>
        <w:jc w:val="right"/>
        <w:rPr>
          <w:b/>
          <w:sz w:val="28"/>
          <w:szCs w:val="28"/>
        </w:rPr>
      </w:pPr>
      <w:r>
        <w:rPr>
          <w:b/>
          <w:sz w:val="28"/>
          <w:szCs w:val="28"/>
        </w:rPr>
        <w:t>Drucksache</w:t>
      </w:r>
      <w:r w:rsidRPr="00A401DB">
        <w:rPr>
          <w:b/>
          <w:sz w:val="28"/>
          <w:szCs w:val="28"/>
        </w:rPr>
        <w:t xml:space="preserve"> Nr.: </w:t>
      </w:r>
      <w:bookmarkStart w:id="0" w:name="BM_voname"/>
      <w:r w:rsidR="000C6B90" w:rsidRPr="00D73FC3">
        <w:rPr>
          <w:b/>
          <w:noProof/>
          <w:sz w:val="28"/>
          <w:szCs w:val="28"/>
        </w:rPr>
        <w:t>32386-23</w:t>
      </w:r>
      <w:bookmarkEnd w:id="0"/>
    </w:p>
    <w:p w14:paraId="55C0CD18" w14:textId="77777777" w:rsidR="003C0BFA" w:rsidRDefault="003C0BFA" w:rsidP="00A13CA8">
      <w:pPr>
        <w:jc w:val="right"/>
      </w:pPr>
    </w:p>
    <w:p w14:paraId="6088E543" w14:textId="77777777" w:rsidR="00B64D17" w:rsidRPr="00A13CA8" w:rsidRDefault="000C6B90" w:rsidP="00A13CA8">
      <w:pPr>
        <w:jc w:val="right"/>
        <w:rPr>
          <w:b/>
          <w:sz w:val="24"/>
        </w:rPr>
      </w:pPr>
      <w:r w:rsidRPr="00D73FC3">
        <w:rPr>
          <w:noProof/>
        </w:rPr>
        <w:t>14.08.2023</w:t>
      </w:r>
    </w:p>
    <w:p w14:paraId="7ED0297B" w14:textId="77777777" w:rsidR="00794E28" w:rsidRPr="003C0BFA" w:rsidRDefault="008C0061" w:rsidP="002A3F0E">
      <w:pPr>
        <w:rPr>
          <w:b/>
          <w:sz w:val="28"/>
        </w:rPr>
      </w:pPr>
      <w:r>
        <w:rPr>
          <w:b/>
          <w:sz w:val="28"/>
        </w:rPr>
        <w:t>Beschlussvorlage</w:t>
      </w:r>
    </w:p>
    <w:p w14:paraId="12D45457" w14:textId="77777777" w:rsidR="009A0F0E" w:rsidRDefault="009A0F0E"/>
    <w:p w14:paraId="76B43C6F" w14:textId="77777777" w:rsidR="00084C35" w:rsidRPr="00084C35" w:rsidRDefault="00084C35"/>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954"/>
      </w:tblGrid>
      <w:tr w:rsidR="00A13CA8" w14:paraId="18CFD724" w14:textId="77777777" w:rsidTr="003B0FD3">
        <w:tc>
          <w:tcPr>
            <w:tcW w:w="3544" w:type="dxa"/>
          </w:tcPr>
          <w:p w14:paraId="7B7F5C51" w14:textId="77777777" w:rsidR="00A13CA8" w:rsidRPr="00737795" w:rsidRDefault="00A13CA8" w:rsidP="00A13CA8">
            <w:pPr>
              <w:pStyle w:val="Kopfzeile"/>
              <w:tabs>
                <w:tab w:val="clear" w:pos="4536"/>
                <w:tab w:val="clear" w:pos="9072"/>
              </w:tabs>
              <w:rPr>
                <w:sz w:val="20"/>
              </w:rPr>
            </w:pPr>
            <w:r w:rsidRPr="00737795">
              <w:rPr>
                <w:sz w:val="20"/>
              </w:rPr>
              <w:t>Fachbereich</w:t>
            </w:r>
            <w:r w:rsidR="00CE7434">
              <w:rPr>
                <w:sz w:val="20"/>
              </w:rPr>
              <w:t>/e</w:t>
            </w:r>
            <w:r w:rsidRPr="00737795">
              <w:rPr>
                <w:sz w:val="20"/>
              </w:rPr>
              <w:t>:</w:t>
            </w:r>
          </w:p>
        </w:tc>
        <w:tc>
          <w:tcPr>
            <w:tcW w:w="5954" w:type="dxa"/>
          </w:tcPr>
          <w:p w14:paraId="60058224" w14:textId="77777777" w:rsidR="000D0352" w:rsidRDefault="000C6B90" w:rsidP="001E562B">
            <w:pPr>
              <w:pStyle w:val="Kopfzeile"/>
              <w:tabs>
                <w:tab w:val="clear" w:pos="4536"/>
                <w:tab w:val="clear" w:pos="9072"/>
              </w:tabs>
              <w:rPr>
                <w:noProof/>
              </w:rPr>
            </w:pPr>
            <w:r w:rsidRPr="00D73FC3">
              <w:rPr>
                <w:noProof/>
              </w:rPr>
              <w:t>Sport- und Freizeitbetriebe (Geschäftsbereich Zentrale Dienste)</w:t>
            </w:r>
          </w:p>
          <w:p w14:paraId="4E5E7C83" w14:textId="77777777" w:rsidR="00A068AB" w:rsidRDefault="00A068AB" w:rsidP="001E562B">
            <w:pPr>
              <w:pStyle w:val="Kopfzeile"/>
              <w:tabs>
                <w:tab w:val="clear" w:pos="4536"/>
                <w:tab w:val="clear" w:pos="9072"/>
              </w:tabs>
              <w:rPr>
                <w:noProof/>
              </w:rPr>
            </w:pPr>
          </w:p>
          <w:p w14:paraId="19DB9AD7" w14:textId="77777777" w:rsidR="00F17B8F" w:rsidRDefault="00F17B8F" w:rsidP="001E562B">
            <w:pPr>
              <w:pStyle w:val="Kopfzeile"/>
              <w:tabs>
                <w:tab w:val="clear" w:pos="4536"/>
                <w:tab w:val="clear" w:pos="9072"/>
              </w:tabs>
              <w:rPr>
                <w:noProof/>
              </w:rPr>
            </w:pPr>
          </w:p>
        </w:tc>
      </w:tr>
      <w:tr w:rsidR="00A13CA8" w14:paraId="08BA53C2" w14:textId="77777777" w:rsidTr="00BB0852">
        <w:trPr>
          <w:trHeight w:val="561"/>
        </w:trPr>
        <w:tc>
          <w:tcPr>
            <w:tcW w:w="3544" w:type="dxa"/>
          </w:tcPr>
          <w:p w14:paraId="787D39EB" w14:textId="77777777" w:rsidR="00A13CA8" w:rsidRPr="00737795" w:rsidRDefault="00A13CA8" w:rsidP="00A13CA8">
            <w:pPr>
              <w:pStyle w:val="Kopfzeile"/>
              <w:tabs>
                <w:tab w:val="clear" w:pos="4536"/>
                <w:tab w:val="clear" w:pos="9072"/>
              </w:tabs>
              <w:rPr>
                <w:sz w:val="20"/>
              </w:rPr>
            </w:pPr>
            <w:r w:rsidRPr="00737795">
              <w:rPr>
                <w:sz w:val="20"/>
              </w:rPr>
              <w:t>Dezernent*in / Geschäftsführer*in:</w:t>
            </w:r>
          </w:p>
          <w:p w14:paraId="7723F543" w14:textId="77777777" w:rsidR="00A13CA8" w:rsidRPr="00737795" w:rsidRDefault="00A13CA8" w:rsidP="001E562B">
            <w:pPr>
              <w:pStyle w:val="Kopfzeile"/>
              <w:tabs>
                <w:tab w:val="clear" w:pos="4536"/>
                <w:tab w:val="clear" w:pos="9072"/>
              </w:tabs>
              <w:rPr>
                <w:sz w:val="20"/>
              </w:rPr>
            </w:pPr>
          </w:p>
        </w:tc>
        <w:tc>
          <w:tcPr>
            <w:tcW w:w="5954" w:type="dxa"/>
          </w:tcPr>
          <w:p w14:paraId="39850626" w14:textId="77777777" w:rsidR="000C6B90" w:rsidRDefault="000C6B90">
            <w:bookmarkStart w:id="1" w:name="Sachverhalt"/>
            <w:r>
              <w:rPr>
                <w:bCs/>
              </w:rPr>
              <w:t xml:space="preserve">Stadträtin Birgit </w:t>
            </w:r>
            <w:proofErr w:type="spellStart"/>
            <w:r>
              <w:rPr>
                <w:bCs/>
              </w:rPr>
              <w:t>Zoerner</w:t>
            </w:r>
            <w:proofErr w:type="spellEnd"/>
            <w:r>
              <w:rPr>
                <w:bCs/>
              </w:rPr>
              <w:t xml:space="preserve"> </w:t>
            </w:r>
          </w:p>
          <w:bookmarkEnd w:id="1"/>
          <w:p w14:paraId="3F49AE8E" w14:textId="77777777" w:rsidR="00A13CA8" w:rsidRDefault="00A13CA8" w:rsidP="001E562B">
            <w:pPr>
              <w:pStyle w:val="Kopfzeile"/>
              <w:tabs>
                <w:tab w:val="clear" w:pos="4536"/>
                <w:tab w:val="clear" w:pos="9072"/>
              </w:tabs>
            </w:pPr>
          </w:p>
        </w:tc>
      </w:tr>
      <w:tr w:rsidR="007270B3" w14:paraId="1F59BECC" w14:textId="77777777" w:rsidTr="00610BDF">
        <w:trPr>
          <w:trHeight w:hRule="exact" w:val="569"/>
        </w:trPr>
        <w:tc>
          <w:tcPr>
            <w:tcW w:w="3544" w:type="dxa"/>
          </w:tcPr>
          <w:p w14:paraId="6F2BE89B" w14:textId="77777777" w:rsidR="007270B3" w:rsidRPr="00737795" w:rsidRDefault="007270B3">
            <w:pPr>
              <w:pStyle w:val="Kopfzeile"/>
              <w:tabs>
                <w:tab w:val="clear" w:pos="4536"/>
                <w:tab w:val="clear" w:pos="9072"/>
              </w:tabs>
              <w:rPr>
                <w:sz w:val="20"/>
              </w:rPr>
            </w:pPr>
            <w:r w:rsidRPr="00737795">
              <w:rPr>
                <w:sz w:val="20"/>
              </w:rPr>
              <w:t>Verantwortlich:</w:t>
            </w:r>
          </w:p>
        </w:tc>
        <w:tc>
          <w:tcPr>
            <w:tcW w:w="5954" w:type="dxa"/>
          </w:tcPr>
          <w:p w14:paraId="028765D1" w14:textId="77777777" w:rsidR="007270B3" w:rsidRDefault="000C6B90">
            <w:pPr>
              <w:pStyle w:val="Kopfzeile"/>
              <w:tabs>
                <w:tab w:val="clear" w:pos="4536"/>
                <w:tab w:val="clear" w:pos="9072"/>
              </w:tabs>
            </w:pPr>
            <w:r w:rsidRPr="00D73FC3">
              <w:rPr>
                <w:noProof/>
              </w:rPr>
              <w:t>Zejfert, Johannes</w:t>
            </w:r>
          </w:p>
        </w:tc>
      </w:tr>
    </w:tbl>
    <w:p w14:paraId="50F9509B" w14:textId="77777777" w:rsidR="00794E28" w:rsidRDefault="00794E28"/>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4304"/>
        <w:gridCol w:w="1635"/>
        <w:gridCol w:w="1986"/>
        <w:gridCol w:w="1558"/>
        <w:gridCol w:w="8"/>
        <w:gridCol w:w="7"/>
      </w:tblGrid>
      <w:tr w:rsidR="00BC2E35" w:rsidRPr="003C0BFA" w14:paraId="4342DFE3" w14:textId="77777777" w:rsidTr="004212B4">
        <w:trPr>
          <w:gridAfter w:val="2"/>
          <w:wAfter w:w="7" w:type="dxa"/>
          <w:cantSplit/>
          <w:trHeight w:val="384"/>
        </w:trPr>
        <w:tc>
          <w:tcPr>
            <w:tcW w:w="4312" w:type="dxa"/>
            <w:shd w:val="clear" w:color="auto" w:fill="BFBFBF" w:themeFill="background1" w:themeFillShade="BF"/>
          </w:tcPr>
          <w:p w14:paraId="07963982" w14:textId="77777777" w:rsidR="00BC2E35" w:rsidRPr="003C0BFA" w:rsidRDefault="00054BE4" w:rsidP="00D848EE">
            <w:pPr>
              <w:pStyle w:val="Kopfzeile"/>
              <w:tabs>
                <w:tab w:val="clear" w:pos="4536"/>
                <w:tab w:val="clear" w:pos="9072"/>
              </w:tabs>
              <w:spacing w:before="120" w:after="120"/>
              <w:rPr>
                <w:sz w:val="18"/>
              </w:rPr>
            </w:pPr>
            <w:r w:rsidRPr="003C0BFA">
              <w:rPr>
                <w:sz w:val="18"/>
              </w:rPr>
              <w:t>Gremium</w:t>
            </w:r>
          </w:p>
        </w:tc>
        <w:tc>
          <w:tcPr>
            <w:tcW w:w="1637" w:type="dxa"/>
            <w:shd w:val="clear" w:color="auto" w:fill="BFBFBF" w:themeFill="background1" w:themeFillShade="BF"/>
          </w:tcPr>
          <w:p w14:paraId="2928D29F" w14:textId="77777777" w:rsidR="00BC2E35" w:rsidRPr="003C0BFA" w:rsidRDefault="00BC2E35" w:rsidP="00D848EE">
            <w:pPr>
              <w:pStyle w:val="Kopfzeile"/>
              <w:tabs>
                <w:tab w:val="clear" w:pos="4536"/>
                <w:tab w:val="clear" w:pos="9072"/>
              </w:tabs>
              <w:spacing w:before="120" w:after="120"/>
              <w:rPr>
                <w:sz w:val="18"/>
              </w:rPr>
            </w:pPr>
            <w:r w:rsidRPr="003C0BFA">
              <w:rPr>
                <w:sz w:val="18"/>
              </w:rPr>
              <w:t>Termin</w:t>
            </w:r>
          </w:p>
        </w:tc>
        <w:tc>
          <w:tcPr>
            <w:tcW w:w="1989" w:type="dxa"/>
            <w:shd w:val="clear" w:color="auto" w:fill="BFBFBF" w:themeFill="background1" w:themeFillShade="BF"/>
          </w:tcPr>
          <w:p w14:paraId="1E24DF8D" w14:textId="77777777" w:rsidR="00BC2E35" w:rsidRPr="003C0BFA" w:rsidRDefault="00BC2E35" w:rsidP="00D848EE">
            <w:pPr>
              <w:tabs>
                <w:tab w:val="left" w:pos="3390"/>
              </w:tabs>
              <w:spacing w:before="120" w:after="120"/>
              <w:rPr>
                <w:sz w:val="18"/>
              </w:rPr>
            </w:pPr>
            <w:r w:rsidRPr="003C0BFA">
              <w:rPr>
                <w:sz w:val="18"/>
              </w:rPr>
              <w:t>Zuständigkeit</w:t>
            </w:r>
          </w:p>
        </w:tc>
        <w:tc>
          <w:tcPr>
            <w:tcW w:w="1560" w:type="dxa"/>
            <w:shd w:val="clear" w:color="auto" w:fill="BFBFBF" w:themeFill="background1" w:themeFillShade="BF"/>
          </w:tcPr>
          <w:p w14:paraId="07A0EA22" w14:textId="77777777" w:rsidR="00BC2E35" w:rsidRPr="003C0BFA" w:rsidRDefault="00051B0D" w:rsidP="00D848EE">
            <w:pPr>
              <w:tabs>
                <w:tab w:val="left" w:pos="3390"/>
              </w:tabs>
              <w:spacing w:before="120" w:after="120"/>
              <w:rPr>
                <w:sz w:val="18"/>
              </w:rPr>
            </w:pPr>
            <w:r w:rsidRPr="003C0BFA">
              <w:rPr>
                <w:sz w:val="18"/>
              </w:rPr>
              <w:t>Status</w:t>
            </w:r>
          </w:p>
        </w:tc>
      </w:tr>
      <w:tr w:rsidR="000C6B90" w14:paraId="7048E25F" w14:textId="77777777" w:rsidTr="00847963">
        <w:tblPrEx>
          <w:tblBorders>
            <w:insideH w:val="single" w:sz="4" w:space="0" w:color="auto"/>
          </w:tblBorders>
          <w:shd w:val="clear" w:color="auto" w:fill="auto"/>
          <w:tblLook w:val="01E0" w:firstRow="1" w:lastRow="1" w:firstColumn="1" w:lastColumn="1" w:noHBand="0" w:noVBand="0"/>
        </w:tblPrEx>
        <w:trPr>
          <w:gridAfter w:val="1"/>
          <w:wAfter w:w="7" w:type="dxa"/>
          <w:cantSplit/>
          <w:trHeight w:val="253"/>
        </w:trPr>
        <w:tc>
          <w:tcPr>
            <w:tcW w:w="4312" w:type="dxa"/>
          </w:tcPr>
          <w:p w14:paraId="7793D084" w14:textId="77777777" w:rsidR="000C6B90" w:rsidRDefault="000C6B90" w:rsidP="00847963">
            <w:r>
              <w:t>Ausschuss für Kultur, Sport und Freizeit</w:t>
            </w:r>
          </w:p>
        </w:tc>
        <w:tc>
          <w:tcPr>
            <w:tcW w:w="1637" w:type="dxa"/>
          </w:tcPr>
          <w:p w14:paraId="7CB35BF9" w14:textId="77777777" w:rsidR="000C6B90" w:rsidRDefault="000C6B90" w:rsidP="00847963">
            <w:r>
              <w:t>29.08.2023</w:t>
            </w:r>
          </w:p>
        </w:tc>
        <w:tc>
          <w:tcPr>
            <w:tcW w:w="1988" w:type="dxa"/>
          </w:tcPr>
          <w:p w14:paraId="07DC61C3" w14:textId="77777777" w:rsidR="000C6B90" w:rsidRDefault="000C6B90" w:rsidP="00847963">
            <w:r>
              <w:t>Empfehlung</w:t>
            </w:r>
          </w:p>
        </w:tc>
        <w:tc>
          <w:tcPr>
            <w:tcW w:w="1568" w:type="dxa"/>
            <w:gridSpan w:val="2"/>
          </w:tcPr>
          <w:p w14:paraId="2C9F2486" w14:textId="77777777" w:rsidR="000C6B90" w:rsidRDefault="000C6B90" w:rsidP="00847963">
            <w:r>
              <w:t>öffentlich</w:t>
            </w:r>
          </w:p>
        </w:tc>
      </w:tr>
      <w:tr w:rsidR="000C6B90" w14:paraId="1A21277A" w14:textId="77777777" w:rsidTr="00847963">
        <w:tblPrEx>
          <w:tblBorders>
            <w:insideH w:val="single" w:sz="4" w:space="0" w:color="auto"/>
          </w:tblBorders>
          <w:shd w:val="clear" w:color="auto" w:fill="auto"/>
          <w:tblLook w:val="01E0" w:firstRow="1" w:lastRow="1" w:firstColumn="1" w:lastColumn="1" w:noHBand="0" w:noVBand="0"/>
        </w:tblPrEx>
        <w:trPr>
          <w:gridAfter w:val="1"/>
          <w:wAfter w:w="7" w:type="dxa"/>
          <w:cantSplit/>
          <w:trHeight w:val="253"/>
        </w:trPr>
        <w:tc>
          <w:tcPr>
            <w:tcW w:w="4312" w:type="dxa"/>
          </w:tcPr>
          <w:p w14:paraId="37215178" w14:textId="77777777" w:rsidR="000C6B90" w:rsidRDefault="000C6B90" w:rsidP="00847963">
            <w:r>
              <w:t>Ausschuss für Finanzen, Beteiligungen und Liegenschaften</w:t>
            </w:r>
          </w:p>
        </w:tc>
        <w:tc>
          <w:tcPr>
            <w:tcW w:w="1637" w:type="dxa"/>
          </w:tcPr>
          <w:p w14:paraId="143F4548" w14:textId="77777777" w:rsidR="000C6B90" w:rsidRDefault="000C6B90" w:rsidP="00847963">
            <w:r>
              <w:t>07.09.2023</w:t>
            </w:r>
          </w:p>
        </w:tc>
        <w:tc>
          <w:tcPr>
            <w:tcW w:w="1988" w:type="dxa"/>
          </w:tcPr>
          <w:p w14:paraId="5A51A915" w14:textId="77777777" w:rsidR="000C6B90" w:rsidRDefault="000C6B90" w:rsidP="00847963">
            <w:r>
              <w:t>Empfehlung</w:t>
            </w:r>
          </w:p>
        </w:tc>
        <w:tc>
          <w:tcPr>
            <w:tcW w:w="1568" w:type="dxa"/>
            <w:gridSpan w:val="2"/>
          </w:tcPr>
          <w:p w14:paraId="09D060E0" w14:textId="77777777" w:rsidR="000C6B90" w:rsidRDefault="000C6B90" w:rsidP="00847963">
            <w:r>
              <w:t>öffentlich</w:t>
            </w:r>
          </w:p>
        </w:tc>
      </w:tr>
      <w:tr w:rsidR="000C6B90" w14:paraId="3142508D" w14:textId="77777777" w:rsidTr="00847963">
        <w:tblPrEx>
          <w:tblBorders>
            <w:insideH w:val="single" w:sz="4" w:space="0" w:color="auto"/>
          </w:tblBorders>
          <w:shd w:val="clear" w:color="auto" w:fill="auto"/>
          <w:tblLook w:val="01E0" w:firstRow="1" w:lastRow="1" w:firstColumn="1" w:lastColumn="1" w:noHBand="0" w:noVBand="0"/>
        </w:tblPrEx>
        <w:trPr>
          <w:gridAfter w:val="1"/>
          <w:wAfter w:w="7" w:type="dxa"/>
          <w:cantSplit/>
          <w:trHeight w:val="253"/>
        </w:trPr>
        <w:tc>
          <w:tcPr>
            <w:tcW w:w="4312" w:type="dxa"/>
          </w:tcPr>
          <w:p w14:paraId="04F42C58" w14:textId="77777777" w:rsidR="000C6B90" w:rsidRDefault="000C6B90" w:rsidP="00847963">
            <w:r>
              <w:t>Hauptausschuss und Ältestenrat</w:t>
            </w:r>
          </w:p>
        </w:tc>
        <w:tc>
          <w:tcPr>
            <w:tcW w:w="1637" w:type="dxa"/>
          </w:tcPr>
          <w:p w14:paraId="2655E837" w14:textId="77777777" w:rsidR="000C6B90" w:rsidRDefault="000C6B90" w:rsidP="00847963">
            <w:r>
              <w:t>21.09.2023</w:t>
            </w:r>
          </w:p>
        </w:tc>
        <w:tc>
          <w:tcPr>
            <w:tcW w:w="1988" w:type="dxa"/>
          </w:tcPr>
          <w:p w14:paraId="48BA3AF4" w14:textId="77777777" w:rsidR="000C6B90" w:rsidRDefault="000C6B90" w:rsidP="00847963">
            <w:r>
              <w:t>Empfehlung</w:t>
            </w:r>
          </w:p>
        </w:tc>
        <w:tc>
          <w:tcPr>
            <w:tcW w:w="1568" w:type="dxa"/>
            <w:gridSpan w:val="2"/>
          </w:tcPr>
          <w:p w14:paraId="2B748C97" w14:textId="77777777" w:rsidR="000C6B90" w:rsidRDefault="000C6B90" w:rsidP="00847963">
            <w:r>
              <w:t>öffentlich</w:t>
            </w:r>
          </w:p>
        </w:tc>
      </w:tr>
      <w:tr w:rsidR="000C6B90" w14:paraId="1DAB8178" w14:textId="77777777" w:rsidTr="00847963">
        <w:tblPrEx>
          <w:tblBorders>
            <w:insideH w:val="single" w:sz="4" w:space="0" w:color="auto"/>
          </w:tblBorders>
          <w:shd w:val="clear" w:color="auto" w:fill="auto"/>
          <w:tblLook w:val="01E0" w:firstRow="1" w:lastRow="1" w:firstColumn="1" w:lastColumn="1" w:noHBand="0" w:noVBand="0"/>
        </w:tblPrEx>
        <w:trPr>
          <w:gridAfter w:val="1"/>
          <w:wAfter w:w="7" w:type="dxa"/>
          <w:cantSplit/>
          <w:trHeight w:val="253"/>
        </w:trPr>
        <w:tc>
          <w:tcPr>
            <w:tcW w:w="4312" w:type="dxa"/>
          </w:tcPr>
          <w:p w14:paraId="581906F1" w14:textId="77777777" w:rsidR="000C6B90" w:rsidRDefault="000C6B90" w:rsidP="00847963">
            <w:r>
              <w:t>Rat der Stadt</w:t>
            </w:r>
          </w:p>
        </w:tc>
        <w:tc>
          <w:tcPr>
            <w:tcW w:w="1637" w:type="dxa"/>
          </w:tcPr>
          <w:p w14:paraId="532C1D99" w14:textId="77777777" w:rsidR="000C6B90" w:rsidRDefault="000C6B90" w:rsidP="00847963">
            <w:r>
              <w:t>21.09.2023</w:t>
            </w:r>
          </w:p>
        </w:tc>
        <w:tc>
          <w:tcPr>
            <w:tcW w:w="1988" w:type="dxa"/>
          </w:tcPr>
          <w:p w14:paraId="5E784C73" w14:textId="77777777" w:rsidR="000C6B90" w:rsidRDefault="000C6B90" w:rsidP="00847963">
            <w:r>
              <w:t>Beschluss</w:t>
            </w:r>
          </w:p>
        </w:tc>
        <w:tc>
          <w:tcPr>
            <w:tcW w:w="1568" w:type="dxa"/>
            <w:gridSpan w:val="2"/>
          </w:tcPr>
          <w:p w14:paraId="4819B7C3" w14:textId="77777777" w:rsidR="000C6B90" w:rsidRDefault="000C6B90" w:rsidP="00847963">
            <w:r>
              <w:t>öffentlich</w:t>
            </w:r>
          </w:p>
        </w:tc>
      </w:tr>
      <w:tr w:rsidR="000C6B90" w14:paraId="32614D58" w14:textId="77777777" w:rsidTr="00847963">
        <w:tblPrEx>
          <w:tblBorders>
            <w:insideH w:val="single" w:sz="4" w:space="0" w:color="auto"/>
          </w:tblBorders>
          <w:shd w:val="clear" w:color="auto" w:fill="auto"/>
          <w:tblLook w:val="01E0" w:firstRow="1" w:lastRow="1" w:firstColumn="1" w:lastColumn="1" w:noHBand="0" w:noVBand="0"/>
        </w:tblPrEx>
        <w:trPr>
          <w:cantSplit/>
          <w:trHeight w:val="253"/>
        </w:trPr>
        <w:tc>
          <w:tcPr>
            <w:tcW w:w="4312" w:type="dxa"/>
          </w:tcPr>
          <w:p w14:paraId="579292F6" w14:textId="77777777" w:rsidR="000C6B90" w:rsidRDefault="000C6B90" w:rsidP="00847963">
            <w:r>
              <w:t>Bezirksvertretung Hombruch</w:t>
            </w:r>
          </w:p>
        </w:tc>
        <w:tc>
          <w:tcPr>
            <w:tcW w:w="1637" w:type="dxa"/>
          </w:tcPr>
          <w:p w14:paraId="2D1CD450" w14:textId="77777777" w:rsidR="000C6B90" w:rsidRDefault="000C6B90" w:rsidP="00847963">
            <w:r>
              <w:t>26.09.2023</w:t>
            </w:r>
          </w:p>
        </w:tc>
        <w:tc>
          <w:tcPr>
            <w:tcW w:w="1988" w:type="dxa"/>
          </w:tcPr>
          <w:p w14:paraId="4609DEF3" w14:textId="77777777" w:rsidR="000C6B90" w:rsidRDefault="000C6B90" w:rsidP="00847963">
            <w:r>
              <w:t>Kenntnisnahme</w:t>
            </w:r>
          </w:p>
        </w:tc>
        <w:tc>
          <w:tcPr>
            <w:tcW w:w="1568" w:type="dxa"/>
            <w:gridSpan w:val="3"/>
          </w:tcPr>
          <w:p w14:paraId="03BADA9C" w14:textId="77777777" w:rsidR="000C6B90" w:rsidRDefault="000C6B90" w:rsidP="00847963">
            <w:r>
              <w:t>öffentlich</w:t>
            </w:r>
          </w:p>
        </w:tc>
      </w:tr>
    </w:tbl>
    <w:p w14:paraId="59E0E50F" w14:textId="77777777" w:rsidR="00F314BE" w:rsidRDefault="00F314BE">
      <w:pPr>
        <w:pStyle w:val="Kopfzeile"/>
        <w:tabs>
          <w:tab w:val="clear" w:pos="4536"/>
          <w:tab w:val="clear" w:pos="9072"/>
        </w:tabs>
      </w:pPr>
      <w:bookmarkStart w:id="2" w:name="Beratungsfolge"/>
      <w:bookmarkEnd w:id="2"/>
    </w:p>
    <w:p w14:paraId="23C06437" w14:textId="77777777" w:rsidR="008B3CD4" w:rsidRDefault="008B3CD4">
      <w:pPr>
        <w:pStyle w:val="Kopfzeile"/>
        <w:tabs>
          <w:tab w:val="clear" w:pos="4536"/>
          <w:tab w:val="clear" w:pos="9072"/>
        </w:tabs>
      </w:pPr>
    </w:p>
    <w:p w14:paraId="26D15DCF" w14:textId="77777777" w:rsidR="00084C35" w:rsidRDefault="00084C35">
      <w:pPr>
        <w:pStyle w:val="Kopfzeile"/>
        <w:tabs>
          <w:tab w:val="clear" w:pos="4536"/>
          <w:tab w:val="clear" w:pos="9072"/>
        </w:tabs>
      </w:pPr>
    </w:p>
    <w:p w14:paraId="4908A125" w14:textId="77777777" w:rsidR="00D33D14" w:rsidRPr="00266D36" w:rsidRDefault="00C35147">
      <w:pPr>
        <w:pStyle w:val="Kopfzeile"/>
        <w:tabs>
          <w:tab w:val="clear" w:pos="4536"/>
          <w:tab w:val="clear" w:pos="9072"/>
        </w:tabs>
        <w:rPr>
          <w:b/>
          <w:u w:val="single"/>
        </w:rPr>
      </w:pPr>
      <w:r>
        <w:rPr>
          <w:b/>
          <w:u w:val="single"/>
        </w:rPr>
        <w:t>Tagesordnungspunkt</w:t>
      </w:r>
    </w:p>
    <w:p w14:paraId="6B1AE533" w14:textId="77777777" w:rsidR="00794E28" w:rsidRPr="00DA37F8" w:rsidRDefault="000C6B90">
      <w:pPr>
        <w:pStyle w:val="Kopfzeile"/>
        <w:tabs>
          <w:tab w:val="clear" w:pos="4536"/>
          <w:tab w:val="clear" w:pos="9072"/>
        </w:tabs>
        <w:rPr>
          <w:bCs/>
          <w:iCs/>
          <w:szCs w:val="22"/>
        </w:rPr>
      </w:pPr>
      <w:r w:rsidRPr="00D73FC3">
        <w:rPr>
          <w:bCs/>
          <w:iCs/>
          <w:noProof/>
          <w:szCs w:val="22"/>
        </w:rPr>
        <w:t>Kostenerhöhungsbeschluss Neubau Robbenanlage im Zoo</w:t>
      </w:r>
    </w:p>
    <w:p w14:paraId="01D7D0CA" w14:textId="77777777" w:rsidR="0067250A" w:rsidRDefault="0067250A"/>
    <w:p w14:paraId="4F718137" w14:textId="77777777" w:rsidR="000C6B90" w:rsidRDefault="000C6B90" w:rsidP="00867575">
      <w:pPr>
        <w:rPr>
          <w:b/>
          <w:bCs/>
          <w:u w:val="single"/>
        </w:rPr>
      </w:pPr>
      <w:bookmarkStart w:id="3" w:name="Beschlußvorschlag"/>
      <w:r>
        <w:rPr>
          <w:b/>
          <w:bCs/>
          <w:u w:val="single"/>
        </w:rPr>
        <w:t>Beschluss:</w:t>
      </w:r>
    </w:p>
    <w:p w14:paraId="5076FEC9" w14:textId="0E15AF8F" w:rsidR="000C6B90" w:rsidRDefault="000C6B90" w:rsidP="00867575">
      <w:pPr>
        <w:rPr>
          <w:rFonts w:cs="Arial"/>
        </w:rPr>
      </w:pPr>
      <w:r>
        <w:rPr>
          <w:rFonts w:cs="Arial"/>
        </w:rPr>
        <w:t xml:space="preserve">Der Rat der Stadt Dortmund beschließt aufgrund der aktuellen Kostenprognose die Erhöhung des Planbudgets für die bauliche Umsetzung der Maßnahme „Neubau Robbenanlage im Zoo“ von 12,4 </w:t>
      </w:r>
      <w:proofErr w:type="spellStart"/>
      <w:r>
        <w:rPr>
          <w:rFonts w:cs="Arial"/>
        </w:rPr>
        <w:t>Mio</w:t>
      </w:r>
      <w:proofErr w:type="spellEnd"/>
      <w:r>
        <w:rPr>
          <w:rFonts w:cs="Arial"/>
        </w:rPr>
        <w:t xml:space="preserve"> € auf rd. 14,</w:t>
      </w:r>
      <w:r w:rsidR="00457458">
        <w:rPr>
          <w:rFonts w:cs="Arial"/>
        </w:rPr>
        <w:t>2</w:t>
      </w:r>
      <w:r>
        <w:rPr>
          <w:rFonts w:cs="Arial"/>
        </w:rPr>
        <w:t xml:space="preserve"> </w:t>
      </w:r>
      <w:proofErr w:type="spellStart"/>
      <w:r>
        <w:rPr>
          <w:rFonts w:cs="Arial"/>
        </w:rPr>
        <w:t>Mio</w:t>
      </w:r>
      <w:proofErr w:type="spellEnd"/>
      <w:r>
        <w:rPr>
          <w:rFonts w:cs="Arial"/>
        </w:rPr>
        <w:t xml:space="preserve"> € (brutto). </w:t>
      </w:r>
    </w:p>
    <w:p w14:paraId="001953C5" w14:textId="77777777" w:rsidR="000C6B90" w:rsidRDefault="000C6B90" w:rsidP="00867575">
      <w:pPr>
        <w:rPr>
          <w:rFonts w:cs="Arial"/>
        </w:rPr>
      </w:pPr>
    </w:p>
    <w:p w14:paraId="66AF4B82" w14:textId="77777777" w:rsidR="000C6B90" w:rsidRDefault="000C6B90">
      <w:r>
        <w:rPr>
          <w:rFonts w:cs="Arial"/>
        </w:rPr>
        <w:t>Der Rat der Stadt Dortmund beschließt unter Berücksichtigung des aus dem Baukostenindex des statistischen Bundesamtes basierten Risikozuschlags (Stand 10.08.2023) bis zum geplanten Bauzeitende (Ende I. Quartal 2024) zudem die weitere Erhöhung des Planbudgets auf rd. 16 Mio. € (brutto)</w:t>
      </w:r>
      <w:r>
        <w:t xml:space="preserve"> </w:t>
      </w:r>
    </w:p>
    <w:bookmarkEnd w:id="3"/>
    <w:p w14:paraId="6DF0BB1A" w14:textId="77777777" w:rsidR="00CA294D" w:rsidRDefault="00CA294D"/>
    <w:p w14:paraId="4746CC1B" w14:textId="77777777" w:rsidR="00E521D9" w:rsidRDefault="00E521D9"/>
    <w:p w14:paraId="021104CC" w14:textId="77777777" w:rsidR="000C6B90" w:rsidRDefault="000C6B90" w:rsidP="00127C7D">
      <w:pPr>
        <w:rPr>
          <w:b/>
          <w:bCs/>
          <w:u w:val="single"/>
        </w:rPr>
      </w:pPr>
      <w:bookmarkStart w:id="4" w:name="FAuswirkung"/>
      <w:r>
        <w:rPr>
          <w:b/>
          <w:bCs/>
          <w:u w:val="single"/>
        </w:rPr>
        <w:t>Personelle Auswirkungen:</w:t>
      </w:r>
    </w:p>
    <w:p w14:paraId="61F1C98B" w14:textId="77777777" w:rsidR="000C6B90" w:rsidRDefault="000C6B90" w:rsidP="00127C7D">
      <w:r>
        <w:t>Keine</w:t>
      </w:r>
    </w:p>
    <w:p w14:paraId="13CDC59F" w14:textId="77777777" w:rsidR="000C6B90" w:rsidRDefault="000C6B90" w:rsidP="00127C7D">
      <w:pPr>
        <w:rPr>
          <w:b/>
          <w:bCs/>
          <w:u w:val="single"/>
        </w:rPr>
      </w:pPr>
    </w:p>
    <w:p w14:paraId="5823335C" w14:textId="77777777" w:rsidR="000C6B90" w:rsidRDefault="000C6B90" w:rsidP="00127C7D">
      <w:pPr>
        <w:rPr>
          <w:b/>
          <w:bCs/>
          <w:u w:val="single"/>
        </w:rPr>
      </w:pPr>
    </w:p>
    <w:p w14:paraId="59763F04" w14:textId="77777777" w:rsidR="000C6B90" w:rsidRDefault="000C6B90" w:rsidP="00127C7D">
      <w:pPr>
        <w:rPr>
          <w:b/>
          <w:bCs/>
          <w:u w:val="single"/>
        </w:rPr>
      </w:pPr>
      <w:r>
        <w:rPr>
          <w:b/>
          <w:bCs/>
          <w:u w:val="single"/>
        </w:rPr>
        <w:t>Finanzielle Auswirkungen:</w:t>
      </w:r>
    </w:p>
    <w:p w14:paraId="285C5A31" w14:textId="6DAC18C8" w:rsidR="000C6B90" w:rsidRDefault="000C6B90" w:rsidP="00127C7D">
      <w:r>
        <w:t xml:space="preserve">Die Investitionsmaßnahme hat mit der Erhöhung um 3,6 Mio. €, welche sich aus der aktuellen Kostenprognose und dem Risikozuschlag zusammensetzt, ein Gesamtvolumen von rund 16 Mio. €. Die Finanzierung erfolgt aus dem Wirtschaftsplan der Sport- und Freizeitbetriebe Dortmund. Mittel stehen im Rahmen des Zukunftskonzeptes „Zoo 2023“ zur Verfügung. Auswirkungen auf den städtischen Haushalt ergeben sich </w:t>
      </w:r>
      <w:r w:rsidR="00E65452" w:rsidRPr="00FB39E1">
        <w:t>zurzeit</w:t>
      </w:r>
      <w:r>
        <w:t xml:space="preserve"> nicht. </w:t>
      </w:r>
    </w:p>
    <w:p w14:paraId="79FCC631" w14:textId="77777777" w:rsidR="000C6B90" w:rsidRDefault="000C6B90" w:rsidP="00127C7D"/>
    <w:p w14:paraId="714C2F13" w14:textId="77777777" w:rsidR="000C6B90" w:rsidRDefault="000C6B90" w:rsidP="00127C7D">
      <w:r>
        <w:t xml:space="preserve">Für den Neubau der Robbenanlage sind mit Stand 10.08.2023 Ausgaben in Höhe von </w:t>
      </w:r>
      <w:r>
        <w:br/>
      </w:r>
      <w:r>
        <w:lastRenderedPageBreak/>
        <w:t xml:space="preserve">rund 7.983 T€ getätigt worden. Davon sind 1.535 T€ durch Drittmittel </w:t>
      </w:r>
      <w:r>
        <w:br/>
        <w:t>- vornehmlich Erbschaften - gedeckt. Es konnten somit rund 431 T€ mehr Drittmittel akquiriert werden als im Baubeschluss (DS-Nr. 16306-19) angenommen.</w:t>
      </w:r>
    </w:p>
    <w:p w14:paraId="12B6CDB0" w14:textId="77777777" w:rsidR="000C6B90" w:rsidRDefault="000C6B90" w:rsidP="00127C7D"/>
    <w:p w14:paraId="09FD8E11" w14:textId="77777777" w:rsidR="000C6B90" w:rsidRDefault="000C6B90" w:rsidP="00127C7D">
      <w:r>
        <w:t xml:space="preserve">Mit den Gesamtinvestitionen fallen nach Fertigstellung Abschreibungen auf das Anlagevermögen an. Dabei wird die Annahme zugrunde gelegt, dass die Aktivierung zum 01.04.2024 mit einer Nutzungsdauer von 40 Jahren erfolgt. Durch die Entnahme der Abschreibungen aus der Kapitalrücklage ergibt sich ein Abschreibungsbedarf am Beteiligungsbuchwert des Eigenbetriebs im städtischen Haushalt. </w:t>
      </w:r>
    </w:p>
    <w:p w14:paraId="5F3FCD55" w14:textId="77777777" w:rsidR="000C6B90" w:rsidRDefault="000C6B90" w:rsidP="00127C7D"/>
    <w:p w14:paraId="2DB527B2" w14:textId="77777777" w:rsidR="000C6B90" w:rsidRDefault="000C6B90" w:rsidP="00127C7D">
      <w:r>
        <w:t>Die Gesamtauswirkungen auf die Gewinn- und Verlustrechnung der Sport- und Freizeitbetriebe Dortmund ergeben sich wie folgt:</w:t>
      </w:r>
    </w:p>
    <w:p w14:paraId="19C0AE22" w14:textId="77777777" w:rsidR="000C6B90" w:rsidRDefault="000C6B90" w:rsidP="00127C7D"/>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1134"/>
        <w:gridCol w:w="1134"/>
        <w:gridCol w:w="1105"/>
      </w:tblGrid>
      <w:tr w:rsidR="000C6B90" w14:paraId="213C66E5" w14:textId="77777777" w:rsidTr="00127C7D">
        <w:trPr>
          <w:trHeight w:val="334"/>
        </w:trPr>
        <w:tc>
          <w:tcPr>
            <w:tcW w:w="4395" w:type="dxa"/>
            <w:tcBorders>
              <w:top w:val="single" w:sz="4" w:space="0" w:color="auto"/>
              <w:left w:val="single" w:sz="4" w:space="0" w:color="auto"/>
              <w:bottom w:val="single" w:sz="4" w:space="0" w:color="auto"/>
              <w:right w:val="single" w:sz="4" w:space="0" w:color="auto"/>
            </w:tcBorders>
            <w:hideMark/>
          </w:tcPr>
          <w:p w14:paraId="0FE5195C" w14:textId="77777777" w:rsidR="000C6B90" w:rsidRDefault="000C6B90">
            <w:pPr>
              <w:rPr>
                <w:rFonts w:ascii="Times New Roman" w:hAnsi="Times New Roman"/>
                <w:b/>
                <w:sz w:val="20"/>
              </w:rPr>
            </w:pPr>
            <w:r>
              <w:rPr>
                <w:rFonts w:ascii="Times New Roman" w:hAnsi="Times New Roman"/>
                <w:b/>
                <w:sz w:val="20"/>
              </w:rPr>
              <w:t>GuV</w:t>
            </w:r>
          </w:p>
        </w:tc>
        <w:tc>
          <w:tcPr>
            <w:tcW w:w="1134" w:type="dxa"/>
            <w:tcBorders>
              <w:top w:val="single" w:sz="4" w:space="0" w:color="auto"/>
              <w:left w:val="single" w:sz="4" w:space="0" w:color="auto"/>
              <w:bottom w:val="single" w:sz="4" w:space="0" w:color="auto"/>
              <w:right w:val="single" w:sz="4" w:space="0" w:color="auto"/>
            </w:tcBorders>
            <w:hideMark/>
          </w:tcPr>
          <w:p w14:paraId="630A8B14" w14:textId="77777777" w:rsidR="000C6B90" w:rsidRDefault="000C6B90">
            <w:pPr>
              <w:jc w:val="center"/>
              <w:rPr>
                <w:rFonts w:ascii="Times New Roman" w:hAnsi="Times New Roman"/>
                <w:b/>
                <w:sz w:val="20"/>
              </w:rPr>
            </w:pPr>
            <w:r>
              <w:rPr>
                <w:rFonts w:ascii="Times New Roman" w:hAnsi="Times New Roman"/>
                <w:b/>
                <w:sz w:val="20"/>
              </w:rPr>
              <w:t>2024</w:t>
            </w:r>
          </w:p>
        </w:tc>
        <w:tc>
          <w:tcPr>
            <w:tcW w:w="1134" w:type="dxa"/>
            <w:tcBorders>
              <w:top w:val="single" w:sz="4" w:space="0" w:color="auto"/>
              <w:left w:val="single" w:sz="4" w:space="0" w:color="auto"/>
              <w:bottom w:val="single" w:sz="4" w:space="0" w:color="auto"/>
              <w:right w:val="single" w:sz="4" w:space="0" w:color="auto"/>
            </w:tcBorders>
            <w:hideMark/>
          </w:tcPr>
          <w:p w14:paraId="268661FF" w14:textId="77777777" w:rsidR="000C6B90" w:rsidRDefault="000C6B90">
            <w:pPr>
              <w:jc w:val="center"/>
              <w:rPr>
                <w:rFonts w:ascii="Times New Roman" w:hAnsi="Times New Roman"/>
                <w:b/>
                <w:sz w:val="20"/>
              </w:rPr>
            </w:pPr>
            <w:r>
              <w:rPr>
                <w:rFonts w:ascii="Times New Roman" w:hAnsi="Times New Roman"/>
                <w:b/>
                <w:sz w:val="20"/>
              </w:rPr>
              <w:t>2025</w:t>
            </w:r>
          </w:p>
        </w:tc>
        <w:tc>
          <w:tcPr>
            <w:tcW w:w="1134" w:type="dxa"/>
            <w:tcBorders>
              <w:top w:val="single" w:sz="4" w:space="0" w:color="auto"/>
              <w:left w:val="single" w:sz="4" w:space="0" w:color="auto"/>
              <w:bottom w:val="single" w:sz="4" w:space="0" w:color="auto"/>
              <w:right w:val="single" w:sz="4" w:space="0" w:color="auto"/>
            </w:tcBorders>
            <w:hideMark/>
          </w:tcPr>
          <w:p w14:paraId="0C6A446A" w14:textId="77777777" w:rsidR="000C6B90" w:rsidRDefault="000C6B90">
            <w:pPr>
              <w:jc w:val="center"/>
              <w:rPr>
                <w:rFonts w:ascii="Times New Roman" w:hAnsi="Times New Roman"/>
                <w:b/>
                <w:sz w:val="20"/>
              </w:rPr>
            </w:pPr>
            <w:r>
              <w:rPr>
                <w:rFonts w:ascii="Times New Roman" w:hAnsi="Times New Roman"/>
                <w:b/>
                <w:sz w:val="20"/>
              </w:rPr>
              <w:t>2026</w:t>
            </w:r>
          </w:p>
        </w:tc>
        <w:tc>
          <w:tcPr>
            <w:tcW w:w="1105" w:type="dxa"/>
            <w:tcBorders>
              <w:top w:val="single" w:sz="4" w:space="0" w:color="auto"/>
              <w:left w:val="single" w:sz="4" w:space="0" w:color="auto"/>
              <w:bottom w:val="single" w:sz="4" w:space="0" w:color="auto"/>
              <w:right w:val="single" w:sz="4" w:space="0" w:color="auto"/>
            </w:tcBorders>
            <w:hideMark/>
          </w:tcPr>
          <w:p w14:paraId="63CF42A4" w14:textId="77777777" w:rsidR="000C6B90" w:rsidRDefault="000C6B90">
            <w:pPr>
              <w:jc w:val="center"/>
              <w:rPr>
                <w:rFonts w:ascii="Times New Roman" w:hAnsi="Times New Roman"/>
                <w:b/>
                <w:sz w:val="20"/>
              </w:rPr>
            </w:pPr>
            <w:r>
              <w:rPr>
                <w:rFonts w:ascii="Times New Roman" w:hAnsi="Times New Roman"/>
                <w:b/>
                <w:sz w:val="20"/>
              </w:rPr>
              <w:t>2027</w:t>
            </w:r>
          </w:p>
        </w:tc>
      </w:tr>
      <w:tr w:rsidR="000C6B90" w14:paraId="1FC5D09E" w14:textId="77777777" w:rsidTr="00127C7D">
        <w:trPr>
          <w:trHeight w:val="334"/>
        </w:trPr>
        <w:tc>
          <w:tcPr>
            <w:tcW w:w="4395" w:type="dxa"/>
            <w:tcBorders>
              <w:top w:val="single" w:sz="4" w:space="0" w:color="auto"/>
              <w:left w:val="single" w:sz="4" w:space="0" w:color="auto"/>
              <w:bottom w:val="single" w:sz="4" w:space="0" w:color="auto"/>
              <w:right w:val="single" w:sz="4" w:space="0" w:color="auto"/>
            </w:tcBorders>
            <w:hideMark/>
          </w:tcPr>
          <w:p w14:paraId="25442673" w14:textId="77777777" w:rsidR="000C6B90" w:rsidRDefault="000C6B90">
            <w:pPr>
              <w:rPr>
                <w:rFonts w:ascii="Times New Roman" w:hAnsi="Times New Roman"/>
                <w:bCs/>
                <w:sz w:val="20"/>
              </w:rPr>
            </w:pPr>
            <w:r>
              <w:rPr>
                <w:rFonts w:ascii="Times New Roman" w:hAnsi="Times New Roman"/>
                <w:bCs/>
                <w:sz w:val="20"/>
              </w:rPr>
              <w:t>Sonstiger betrieblicher Ertrag (</w:t>
            </w:r>
            <w:proofErr w:type="spellStart"/>
            <w:r>
              <w:rPr>
                <w:rFonts w:ascii="Times New Roman" w:hAnsi="Times New Roman"/>
                <w:bCs/>
                <w:sz w:val="20"/>
              </w:rPr>
              <w:t>SoPo</w:t>
            </w:r>
            <w:proofErr w:type="spellEnd"/>
            <w:r>
              <w:rPr>
                <w:rFonts w:ascii="Times New Roman" w:hAnsi="Times New Roman"/>
                <w:bCs/>
                <w:sz w:val="20"/>
              </w:rPr>
              <w:t>)</w:t>
            </w:r>
          </w:p>
        </w:tc>
        <w:tc>
          <w:tcPr>
            <w:tcW w:w="1134" w:type="dxa"/>
            <w:tcBorders>
              <w:top w:val="single" w:sz="4" w:space="0" w:color="auto"/>
              <w:left w:val="single" w:sz="4" w:space="0" w:color="auto"/>
              <w:bottom w:val="single" w:sz="4" w:space="0" w:color="auto"/>
              <w:right w:val="single" w:sz="4" w:space="0" w:color="auto"/>
            </w:tcBorders>
            <w:hideMark/>
          </w:tcPr>
          <w:p w14:paraId="4283D9A7" w14:textId="77777777" w:rsidR="000C6B90" w:rsidRDefault="000C6B90">
            <w:pPr>
              <w:jc w:val="right"/>
              <w:rPr>
                <w:rFonts w:ascii="Times New Roman" w:hAnsi="Times New Roman"/>
                <w:b/>
                <w:sz w:val="20"/>
              </w:rPr>
            </w:pPr>
            <w:r>
              <w:rPr>
                <w:rFonts w:ascii="Times New Roman" w:hAnsi="Times New Roman"/>
                <w:b/>
                <w:sz w:val="20"/>
              </w:rPr>
              <w:t>-28.792 €</w:t>
            </w:r>
          </w:p>
        </w:tc>
        <w:tc>
          <w:tcPr>
            <w:tcW w:w="1134" w:type="dxa"/>
            <w:tcBorders>
              <w:top w:val="single" w:sz="4" w:space="0" w:color="auto"/>
              <w:left w:val="single" w:sz="4" w:space="0" w:color="auto"/>
              <w:bottom w:val="single" w:sz="4" w:space="0" w:color="auto"/>
              <w:right w:val="single" w:sz="4" w:space="0" w:color="auto"/>
            </w:tcBorders>
            <w:hideMark/>
          </w:tcPr>
          <w:p w14:paraId="5741A745" w14:textId="77777777" w:rsidR="000C6B90" w:rsidRDefault="000C6B90">
            <w:pPr>
              <w:jc w:val="right"/>
              <w:rPr>
                <w:rFonts w:ascii="Times New Roman" w:hAnsi="Times New Roman"/>
                <w:b/>
                <w:sz w:val="20"/>
              </w:rPr>
            </w:pPr>
            <w:r>
              <w:rPr>
                <w:rFonts w:ascii="Times New Roman" w:hAnsi="Times New Roman"/>
                <w:b/>
                <w:sz w:val="20"/>
              </w:rPr>
              <w:t>-38.390 €</w:t>
            </w:r>
          </w:p>
        </w:tc>
        <w:tc>
          <w:tcPr>
            <w:tcW w:w="1134" w:type="dxa"/>
            <w:tcBorders>
              <w:top w:val="single" w:sz="4" w:space="0" w:color="auto"/>
              <w:left w:val="single" w:sz="4" w:space="0" w:color="auto"/>
              <w:bottom w:val="single" w:sz="4" w:space="0" w:color="auto"/>
              <w:right w:val="single" w:sz="4" w:space="0" w:color="auto"/>
            </w:tcBorders>
            <w:hideMark/>
          </w:tcPr>
          <w:p w14:paraId="0CBAE679" w14:textId="77777777" w:rsidR="000C6B90" w:rsidRDefault="000C6B90">
            <w:pPr>
              <w:jc w:val="right"/>
              <w:rPr>
                <w:rFonts w:ascii="Times New Roman" w:hAnsi="Times New Roman"/>
                <w:b/>
                <w:sz w:val="20"/>
              </w:rPr>
            </w:pPr>
            <w:r>
              <w:rPr>
                <w:rFonts w:ascii="Times New Roman" w:hAnsi="Times New Roman"/>
                <w:b/>
                <w:sz w:val="20"/>
              </w:rPr>
              <w:t>-38.390 €</w:t>
            </w:r>
          </w:p>
        </w:tc>
        <w:tc>
          <w:tcPr>
            <w:tcW w:w="1105" w:type="dxa"/>
            <w:tcBorders>
              <w:top w:val="single" w:sz="4" w:space="0" w:color="auto"/>
              <w:left w:val="single" w:sz="4" w:space="0" w:color="auto"/>
              <w:bottom w:val="single" w:sz="4" w:space="0" w:color="auto"/>
              <w:right w:val="single" w:sz="4" w:space="0" w:color="auto"/>
            </w:tcBorders>
            <w:hideMark/>
          </w:tcPr>
          <w:p w14:paraId="792872B7" w14:textId="77777777" w:rsidR="000C6B90" w:rsidRDefault="000C6B90">
            <w:pPr>
              <w:jc w:val="right"/>
              <w:rPr>
                <w:rFonts w:ascii="Times New Roman" w:hAnsi="Times New Roman"/>
                <w:b/>
                <w:sz w:val="20"/>
              </w:rPr>
            </w:pPr>
            <w:r>
              <w:rPr>
                <w:rFonts w:ascii="Times New Roman" w:hAnsi="Times New Roman"/>
                <w:b/>
                <w:sz w:val="20"/>
              </w:rPr>
              <w:t>-38.390 €</w:t>
            </w:r>
          </w:p>
        </w:tc>
      </w:tr>
      <w:tr w:rsidR="000C6B90" w14:paraId="5163E3C1" w14:textId="77777777" w:rsidTr="00127C7D">
        <w:tc>
          <w:tcPr>
            <w:tcW w:w="4395" w:type="dxa"/>
            <w:tcBorders>
              <w:top w:val="single" w:sz="4" w:space="0" w:color="auto"/>
              <w:left w:val="single" w:sz="4" w:space="0" w:color="auto"/>
              <w:bottom w:val="single" w:sz="4" w:space="0" w:color="auto"/>
              <w:right w:val="single" w:sz="4" w:space="0" w:color="auto"/>
            </w:tcBorders>
            <w:hideMark/>
          </w:tcPr>
          <w:p w14:paraId="02E0F3E0" w14:textId="77777777" w:rsidR="000C6B90" w:rsidRDefault="000C6B90">
            <w:pPr>
              <w:rPr>
                <w:rFonts w:ascii="Times New Roman" w:hAnsi="Times New Roman"/>
                <w:sz w:val="20"/>
              </w:rPr>
            </w:pPr>
            <w:r>
              <w:rPr>
                <w:rFonts w:ascii="Times New Roman" w:hAnsi="Times New Roman"/>
                <w:sz w:val="20"/>
              </w:rPr>
              <w:t>Abschreibungen auf Anlagevermögen</w:t>
            </w:r>
          </w:p>
        </w:tc>
        <w:tc>
          <w:tcPr>
            <w:tcW w:w="1134" w:type="dxa"/>
            <w:tcBorders>
              <w:top w:val="single" w:sz="4" w:space="0" w:color="auto"/>
              <w:left w:val="single" w:sz="4" w:space="0" w:color="auto"/>
              <w:bottom w:val="single" w:sz="4" w:space="0" w:color="auto"/>
              <w:right w:val="single" w:sz="4" w:space="0" w:color="auto"/>
            </w:tcBorders>
            <w:hideMark/>
          </w:tcPr>
          <w:p w14:paraId="0AF88DE1" w14:textId="77777777" w:rsidR="000C6B90" w:rsidRDefault="000C6B90">
            <w:pPr>
              <w:jc w:val="right"/>
              <w:rPr>
                <w:rFonts w:ascii="Times New Roman" w:hAnsi="Times New Roman"/>
                <w:sz w:val="20"/>
              </w:rPr>
            </w:pPr>
            <w:r>
              <w:rPr>
                <w:rFonts w:ascii="Times New Roman" w:hAnsi="Times New Roman"/>
                <w:sz w:val="20"/>
              </w:rPr>
              <w:t>300.000 €</w:t>
            </w:r>
          </w:p>
        </w:tc>
        <w:tc>
          <w:tcPr>
            <w:tcW w:w="1134" w:type="dxa"/>
            <w:tcBorders>
              <w:top w:val="single" w:sz="4" w:space="0" w:color="auto"/>
              <w:left w:val="single" w:sz="4" w:space="0" w:color="auto"/>
              <w:bottom w:val="single" w:sz="4" w:space="0" w:color="auto"/>
              <w:right w:val="single" w:sz="4" w:space="0" w:color="auto"/>
            </w:tcBorders>
            <w:hideMark/>
          </w:tcPr>
          <w:p w14:paraId="7C679860" w14:textId="77777777" w:rsidR="000C6B90" w:rsidRDefault="000C6B90">
            <w:pPr>
              <w:jc w:val="right"/>
              <w:rPr>
                <w:rFonts w:ascii="Times New Roman" w:hAnsi="Times New Roman"/>
                <w:sz w:val="20"/>
              </w:rPr>
            </w:pPr>
            <w:r>
              <w:rPr>
                <w:rFonts w:ascii="Times New Roman" w:hAnsi="Times New Roman"/>
                <w:sz w:val="20"/>
              </w:rPr>
              <w:t>400.000 €</w:t>
            </w:r>
          </w:p>
        </w:tc>
        <w:tc>
          <w:tcPr>
            <w:tcW w:w="1134" w:type="dxa"/>
            <w:tcBorders>
              <w:top w:val="single" w:sz="4" w:space="0" w:color="auto"/>
              <w:left w:val="single" w:sz="4" w:space="0" w:color="auto"/>
              <w:bottom w:val="single" w:sz="4" w:space="0" w:color="auto"/>
              <w:right w:val="single" w:sz="4" w:space="0" w:color="auto"/>
            </w:tcBorders>
            <w:hideMark/>
          </w:tcPr>
          <w:p w14:paraId="2D4D8F15" w14:textId="77777777" w:rsidR="000C6B90" w:rsidRDefault="000C6B90">
            <w:pPr>
              <w:jc w:val="right"/>
              <w:rPr>
                <w:rFonts w:ascii="Times New Roman" w:hAnsi="Times New Roman"/>
                <w:sz w:val="20"/>
              </w:rPr>
            </w:pPr>
            <w:r>
              <w:rPr>
                <w:rFonts w:ascii="Times New Roman" w:hAnsi="Times New Roman"/>
                <w:sz w:val="20"/>
              </w:rPr>
              <w:t>400.000 €</w:t>
            </w:r>
          </w:p>
        </w:tc>
        <w:tc>
          <w:tcPr>
            <w:tcW w:w="1105" w:type="dxa"/>
            <w:tcBorders>
              <w:top w:val="single" w:sz="4" w:space="0" w:color="auto"/>
              <w:left w:val="single" w:sz="4" w:space="0" w:color="auto"/>
              <w:bottom w:val="single" w:sz="4" w:space="0" w:color="auto"/>
              <w:right w:val="single" w:sz="4" w:space="0" w:color="auto"/>
            </w:tcBorders>
            <w:hideMark/>
          </w:tcPr>
          <w:p w14:paraId="1376D8B2" w14:textId="77777777" w:rsidR="000C6B90" w:rsidRDefault="000C6B90">
            <w:pPr>
              <w:jc w:val="right"/>
              <w:rPr>
                <w:rFonts w:ascii="Times New Roman" w:hAnsi="Times New Roman"/>
                <w:sz w:val="20"/>
              </w:rPr>
            </w:pPr>
            <w:r>
              <w:rPr>
                <w:rFonts w:ascii="Times New Roman" w:hAnsi="Times New Roman"/>
                <w:sz w:val="20"/>
              </w:rPr>
              <w:t>400.000 €</w:t>
            </w:r>
          </w:p>
        </w:tc>
      </w:tr>
      <w:tr w:rsidR="000C6B90" w14:paraId="734426B5" w14:textId="77777777" w:rsidTr="00127C7D">
        <w:tc>
          <w:tcPr>
            <w:tcW w:w="4395" w:type="dxa"/>
            <w:tcBorders>
              <w:top w:val="single" w:sz="4" w:space="0" w:color="auto"/>
              <w:left w:val="single" w:sz="4" w:space="0" w:color="auto"/>
              <w:bottom w:val="single" w:sz="4" w:space="0" w:color="auto"/>
              <w:right w:val="single" w:sz="4" w:space="0" w:color="auto"/>
            </w:tcBorders>
            <w:hideMark/>
          </w:tcPr>
          <w:p w14:paraId="00253AB5" w14:textId="77777777" w:rsidR="000C6B90" w:rsidRDefault="000C6B90">
            <w:pPr>
              <w:rPr>
                <w:rFonts w:ascii="Times New Roman" w:hAnsi="Times New Roman"/>
                <w:b/>
                <w:sz w:val="20"/>
              </w:rPr>
            </w:pPr>
            <w:r>
              <w:rPr>
                <w:rFonts w:ascii="Times New Roman" w:hAnsi="Times New Roman"/>
                <w:b/>
                <w:sz w:val="20"/>
              </w:rPr>
              <w:t>Jahresüberschuss (-) / Fehlbetrag (+)</w:t>
            </w:r>
          </w:p>
        </w:tc>
        <w:tc>
          <w:tcPr>
            <w:tcW w:w="1134" w:type="dxa"/>
            <w:tcBorders>
              <w:top w:val="single" w:sz="4" w:space="0" w:color="auto"/>
              <w:left w:val="single" w:sz="4" w:space="0" w:color="auto"/>
              <w:bottom w:val="single" w:sz="4" w:space="0" w:color="auto"/>
              <w:right w:val="single" w:sz="4" w:space="0" w:color="auto"/>
            </w:tcBorders>
            <w:hideMark/>
          </w:tcPr>
          <w:p w14:paraId="2F49F232" w14:textId="77777777" w:rsidR="000C6B90" w:rsidRDefault="000C6B90">
            <w:pPr>
              <w:jc w:val="right"/>
              <w:rPr>
                <w:rFonts w:ascii="Times New Roman" w:hAnsi="Times New Roman"/>
                <w:b/>
                <w:sz w:val="20"/>
              </w:rPr>
            </w:pPr>
            <w:r>
              <w:rPr>
                <w:rFonts w:ascii="Times New Roman" w:hAnsi="Times New Roman"/>
                <w:b/>
                <w:sz w:val="20"/>
              </w:rPr>
              <w:t>271.208 €</w:t>
            </w:r>
          </w:p>
        </w:tc>
        <w:tc>
          <w:tcPr>
            <w:tcW w:w="1134" w:type="dxa"/>
            <w:tcBorders>
              <w:top w:val="single" w:sz="4" w:space="0" w:color="auto"/>
              <w:left w:val="single" w:sz="4" w:space="0" w:color="auto"/>
              <w:bottom w:val="single" w:sz="4" w:space="0" w:color="auto"/>
              <w:right w:val="single" w:sz="4" w:space="0" w:color="auto"/>
            </w:tcBorders>
            <w:hideMark/>
          </w:tcPr>
          <w:p w14:paraId="42DD23BC" w14:textId="77777777" w:rsidR="000C6B90" w:rsidRDefault="000C6B90">
            <w:pPr>
              <w:jc w:val="right"/>
              <w:rPr>
                <w:rFonts w:ascii="Times New Roman" w:hAnsi="Times New Roman"/>
                <w:b/>
                <w:sz w:val="20"/>
              </w:rPr>
            </w:pPr>
            <w:r>
              <w:rPr>
                <w:rFonts w:ascii="Times New Roman" w:hAnsi="Times New Roman"/>
                <w:b/>
                <w:sz w:val="20"/>
              </w:rPr>
              <w:t>361.610 €</w:t>
            </w:r>
          </w:p>
        </w:tc>
        <w:tc>
          <w:tcPr>
            <w:tcW w:w="1134" w:type="dxa"/>
            <w:tcBorders>
              <w:top w:val="single" w:sz="4" w:space="0" w:color="auto"/>
              <w:left w:val="single" w:sz="4" w:space="0" w:color="auto"/>
              <w:bottom w:val="single" w:sz="4" w:space="0" w:color="auto"/>
              <w:right w:val="single" w:sz="4" w:space="0" w:color="auto"/>
            </w:tcBorders>
            <w:hideMark/>
          </w:tcPr>
          <w:p w14:paraId="38B0B4AB" w14:textId="77777777" w:rsidR="000C6B90" w:rsidRDefault="000C6B90">
            <w:pPr>
              <w:jc w:val="right"/>
              <w:rPr>
                <w:rFonts w:ascii="Times New Roman" w:hAnsi="Times New Roman"/>
                <w:b/>
                <w:sz w:val="20"/>
              </w:rPr>
            </w:pPr>
            <w:r>
              <w:rPr>
                <w:rFonts w:ascii="Times New Roman" w:hAnsi="Times New Roman"/>
                <w:b/>
                <w:sz w:val="20"/>
              </w:rPr>
              <w:t>361.610 €</w:t>
            </w:r>
          </w:p>
        </w:tc>
        <w:tc>
          <w:tcPr>
            <w:tcW w:w="1105" w:type="dxa"/>
            <w:tcBorders>
              <w:top w:val="single" w:sz="4" w:space="0" w:color="auto"/>
              <w:left w:val="single" w:sz="4" w:space="0" w:color="auto"/>
              <w:bottom w:val="single" w:sz="4" w:space="0" w:color="auto"/>
              <w:right w:val="single" w:sz="4" w:space="0" w:color="auto"/>
            </w:tcBorders>
            <w:hideMark/>
          </w:tcPr>
          <w:p w14:paraId="6E0FE7FF" w14:textId="77777777" w:rsidR="000C6B90" w:rsidRDefault="000C6B90">
            <w:pPr>
              <w:jc w:val="right"/>
              <w:rPr>
                <w:rFonts w:ascii="Times New Roman" w:hAnsi="Times New Roman"/>
                <w:b/>
                <w:sz w:val="20"/>
              </w:rPr>
            </w:pPr>
            <w:r>
              <w:rPr>
                <w:rFonts w:ascii="Times New Roman" w:hAnsi="Times New Roman"/>
                <w:b/>
                <w:sz w:val="20"/>
              </w:rPr>
              <w:t>361.610 €</w:t>
            </w:r>
          </w:p>
        </w:tc>
      </w:tr>
      <w:tr w:rsidR="000C6B90" w14:paraId="7891A7A6" w14:textId="77777777" w:rsidTr="00127C7D">
        <w:tc>
          <w:tcPr>
            <w:tcW w:w="4395" w:type="dxa"/>
            <w:tcBorders>
              <w:top w:val="single" w:sz="4" w:space="0" w:color="auto"/>
              <w:left w:val="single" w:sz="4" w:space="0" w:color="auto"/>
              <w:bottom w:val="single" w:sz="4" w:space="0" w:color="auto"/>
              <w:right w:val="single" w:sz="4" w:space="0" w:color="auto"/>
            </w:tcBorders>
            <w:hideMark/>
          </w:tcPr>
          <w:p w14:paraId="188DDE60" w14:textId="77777777" w:rsidR="000C6B90" w:rsidRDefault="000C6B90">
            <w:pPr>
              <w:rPr>
                <w:rFonts w:ascii="Times New Roman" w:hAnsi="Times New Roman"/>
                <w:sz w:val="20"/>
              </w:rPr>
            </w:pPr>
            <w:r>
              <w:rPr>
                <w:rFonts w:ascii="Times New Roman" w:hAnsi="Times New Roman"/>
                <w:sz w:val="20"/>
              </w:rPr>
              <w:t>Entnahme aus der Kapitalrücklage</w:t>
            </w:r>
          </w:p>
        </w:tc>
        <w:tc>
          <w:tcPr>
            <w:tcW w:w="1134" w:type="dxa"/>
            <w:tcBorders>
              <w:top w:val="single" w:sz="4" w:space="0" w:color="auto"/>
              <w:left w:val="single" w:sz="4" w:space="0" w:color="auto"/>
              <w:bottom w:val="single" w:sz="4" w:space="0" w:color="auto"/>
              <w:right w:val="single" w:sz="4" w:space="0" w:color="auto"/>
            </w:tcBorders>
            <w:hideMark/>
          </w:tcPr>
          <w:p w14:paraId="1598BCA7" w14:textId="77777777" w:rsidR="000C6B90" w:rsidRDefault="000C6B90">
            <w:pPr>
              <w:jc w:val="right"/>
              <w:rPr>
                <w:rFonts w:ascii="Times New Roman" w:hAnsi="Times New Roman"/>
                <w:sz w:val="20"/>
              </w:rPr>
            </w:pPr>
            <w:r>
              <w:rPr>
                <w:rFonts w:ascii="Times New Roman" w:hAnsi="Times New Roman"/>
                <w:sz w:val="20"/>
              </w:rPr>
              <w:t>-271.208 €</w:t>
            </w:r>
          </w:p>
        </w:tc>
        <w:tc>
          <w:tcPr>
            <w:tcW w:w="1134" w:type="dxa"/>
            <w:tcBorders>
              <w:top w:val="single" w:sz="4" w:space="0" w:color="auto"/>
              <w:left w:val="single" w:sz="4" w:space="0" w:color="auto"/>
              <w:bottom w:val="single" w:sz="4" w:space="0" w:color="auto"/>
              <w:right w:val="single" w:sz="4" w:space="0" w:color="auto"/>
            </w:tcBorders>
            <w:hideMark/>
          </w:tcPr>
          <w:p w14:paraId="1F8A19DA" w14:textId="77777777" w:rsidR="000C6B90" w:rsidRDefault="000C6B90">
            <w:pPr>
              <w:jc w:val="right"/>
              <w:rPr>
                <w:rFonts w:ascii="Times New Roman" w:hAnsi="Times New Roman"/>
                <w:sz w:val="20"/>
              </w:rPr>
            </w:pPr>
            <w:r>
              <w:rPr>
                <w:rFonts w:ascii="Times New Roman" w:hAnsi="Times New Roman"/>
                <w:sz w:val="20"/>
              </w:rPr>
              <w:t>-361.610 €</w:t>
            </w:r>
          </w:p>
        </w:tc>
        <w:tc>
          <w:tcPr>
            <w:tcW w:w="1134" w:type="dxa"/>
            <w:tcBorders>
              <w:top w:val="single" w:sz="4" w:space="0" w:color="auto"/>
              <w:left w:val="single" w:sz="4" w:space="0" w:color="auto"/>
              <w:bottom w:val="single" w:sz="4" w:space="0" w:color="auto"/>
              <w:right w:val="single" w:sz="4" w:space="0" w:color="auto"/>
            </w:tcBorders>
            <w:hideMark/>
          </w:tcPr>
          <w:p w14:paraId="100E891B" w14:textId="77777777" w:rsidR="000C6B90" w:rsidRDefault="000C6B90">
            <w:pPr>
              <w:jc w:val="right"/>
              <w:rPr>
                <w:rFonts w:ascii="Times New Roman" w:hAnsi="Times New Roman"/>
                <w:sz w:val="20"/>
              </w:rPr>
            </w:pPr>
            <w:r>
              <w:rPr>
                <w:rFonts w:ascii="Times New Roman" w:hAnsi="Times New Roman"/>
                <w:sz w:val="20"/>
              </w:rPr>
              <w:t>-361.610 €</w:t>
            </w:r>
          </w:p>
        </w:tc>
        <w:tc>
          <w:tcPr>
            <w:tcW w:w="1105" w:type="dxa"/>
            <w:tcBorders>
              <w:top w:val="single" w:sz="4" w:space="0" w:color="auto"/>
              <w:left w:val="single" w:sz="4" w:space="0" w:color="auto"/>
              <w:bottom w:val="single" w:sz="4" w:space="0" w:color="auto"/>
              <w:right w:val="single" w:sz="4" w:space="0" w:color="auto"/>
            </w:tcBorders>
            <w:hideMark/>
          </w:tcPr>
          <w:p w14:paraId="18AE7A2C" w14:textId="77777777" w:rsidR="000C6B90" w:rsidRDefault="000C6B90">
            <w:pPr>
              <w:jc w:val="right"/>
              <w:rPr>
                <w:rFonts w:ascii="Times New Roman" w:hAnsi="Times New Roman"/>
                <w:sz w:val="20"/>
              </w:rPr>
            </w:pPr>
            <w:r>
              <w:rPr>
                <w:rFonts w:ascii="Times New Roman" w:hAnsi="Times New Roman"/>
                <w:sz w:val="20"/>
              </w:rPr>
              <w:t>-361.610 €</w:t>
            </w:r>
          </w:p>
        </w:tc>
      </w:tr>
      <w:tr w:rsidR="000C6B90" w14:paraId="08910C85" w14:textId="77777777" w:rsidTr="00127C7D">
        <w:tc>
          <w:tcPr>
            <w:tcW w:w="4395" w:type="dxa"/>
            <w:tcBorders>
              <w:top w:val="single" w:sz="4" w:space="0" w:color="auto"/>
              <w:left w:val="single" w:sz="4" w:space="0" w:color="auto"/>
              <w:bottom w:val="single" w:sz="4" w:space="0" w:color="auto"/>
              <w:right w:val="single" w:sz="4" w:space="0" w:color="auto"/>
            </w:tcBorders>
            <w:hideMark/>
          </w:tcPr>
          <w:p w14:paraId="06D977F4" w14:textId="77777777" w:rsidR="000C6B90" w:rsidRDefault="000C6B90">
            <w:pPr>
              <w:rPr>
                <w:rFonts w:ascii="Times New Roman" w:hAnsi="Times New Roman"/>
                <w:b/>
                <w:sz w:val="20"/>
              </w:rPr>
            </w:pPr>
            <w:r>
              <w:rPr>
                <w:rFonts w:ascii="Times New Roman" w:hAnsi="Times New Roman"/>
                <w:b/>
                <w:sz w:val="20"/>
              </w:rPr>
              <w:t>Jahresüberschuss (-) / Fehlbetrag (+)</w:t>
            </w:r>
          </w:p>
        </w:tc>
        <w:tc>
          <w:tcPr>
            <w:tcW w:w="1134" w:type="dxa"/>
            <w:tcBorders>
              <w:top w:val="single" w:sz="4" w:space="0" w:color="auto"/>
              <w:left w:val="single" w:sz="4" w:space="0" w:color="auto"/>
              <w:bottom w:val="single" w:sz="4" w:space="0" w:color="auto"/>
              <w:right w:val="single" w:sz="4" w:space="0" w:color="auto"/>
            </w:tcBorders>
            <w:hideMark/>
          </w:tcPr>
          <w:p w14:paraId="5FDB8DCD" w14:textId="77777777" w:rsidR="000C6B90" w:rsidRDefault="000C6B90">
            <w:pPr>
              <w:jc w:val="right"/>
              <w:rPr>
                <w:rFonts w:ascii="Times New Roman" w:hAnsi="Times New Roman"/>
                <w:b/>
                <w:sz w:val="20"/>
              </w:rPr>
            </w:pPr>
            <w:r>
              <w:rPr>
                <w:rFonts w:ascii="Times New Roman" w:hAnsi="Times New Roman"/>
                <w:b/>
                <w:sz w:val="20"/>
              </w:rPr>
              <w:t>0 €</w:t>
            </w:r>
          </w:p>
        </w:tc>
        <w:tc>
          <w:tcPr>
            <w:tcW w:w="1134" w:type="dxa"/>
            <w:tcBorders>
              <w:top w:val="single" w:sz="4" w:space="0" w:color="auto"/>
              <w:left w:val="single" w:sz="4" w:space="0" w:color="auto"/>
              <w:bottom w:val="single" w:sz="4" w:space="0" w:color="auto"/>
              <w:right w:val="single" w:sz="4" w:space="0" w:color="auto"/>
            </w:tcBorders>
            <w:hideMark/>
          </w:tcPr>
          <w:p w14:paraId="04DBDA3A" w14:textId="77777777" w:rsidR="000C6B90" w:rsidRDefault="000C6B90">
            <w:pPr>
              <w:jc w:val="right"/>
              <w:rPr>
                <w:rFonts w:ascii="Times New Roman" w:hAnsi="Times New Roman"/>
                <w:b/>
                <w:sz w:val="20"/>
              </w:rPr>
            </w:pPr>
            <w:r>
              <w:rPr>
                <w:rFonts w:ascii="Times New Roman" w:hAnsi="Times New Roman"/>
                <w:b/>
                <w:sz w:val="20"/>
              </w:rPr>
              <w:t>0 €</w:t>
            </w:r>
          </w:p>
        </w:tc>
        <w:tc>
          <w:tcPr>
            <w:tcW w:w="1134" w:type="dxa"/>
            <w:tcBorders>
              <w:top w:val="single" w:sz="4" w:space="0" w:color="auto"/>
              <w:left w:val="single" w:sz="4" w:space="0" w:color="auto"/>
              <w:bottom w:val="single" w:sz="4" w:space="0" w:color="auto"/>
              <w:right w:val="single" w:sz="4" w:space="0" w:color="auto"/>
            </w:tcBorders>
            <w:hideMark/>
          </w:tcPr>
          <w:p w14:paraId="014F9401" w14:textId="77777777" w:rsidR="000C6B90" w:rsidRDefault="000C6B90">
            <w:pPr>
              <w:jc w:val="right"/>
              <w:rPr>
                <w:rFonts w:ascii="Times New Roman" w:hAnsi="Times New Roman"/>
                <w:b/>
                <w:sz w:val="20"/>
              </w:rPr>
            </w:pPr>
            <w:r>
              <w:rPr>
                <w:rFonts w:ascii="Times New Roman" w:hAnsi="Times New Roman"/>
                <w:b/>
                <w:sz w:val="20"/>
              </w:rPr>
              <w:t>0 €</w:t>
            </w:r>
          </w:p>
        </w:tc>
        <w:tc>
          <w:tcPr>
            <w:tcW w:w="1105" w:type="dxa"/>
            <w:tcBorders>
              <w:top w:val="single" w:sz="4" w:space="0" w:color="auto"/>
              <w:left w:val="single" w:sz="4" w:space="0" w:color="auto"/>
              <w:bottom w:val="single" w:sz="4" w:space="0" w:color="auto"/>
              <w:right w:val="single" w:sz="4" w:space="0" w:color="auto"/>
            </w:tcBorders>
            <w:hideMark/>
          </w:tcPr>
          <w:p w14:paraId="64ED8EED" w14:textId="77777777" w:rsidR="000C6B90" w:rsidRDefault="000C6B90">
            <w:pPr>
              <w:jc w:val="right"/>
              <w:rPr>
                <w:rFonts w:ascii="Times New Roman" w:hAnsi="Times New Roman"/>
                <w:b/>
                <w:sz w:val="20"/>
              </w:rPr>
            </w:pPr>
            <w:r>
              <w:rPr>
                <w:rFonts w:ascii="Times New Roman" w:hAnsi="Times New Roman"/>
                <w:b/>
                <w:sz w:val="20"/>
              </w:rPr>
              <w:t>0 €</w:t>
            </w:r>
          </w:p>
        </w:tc>
      </w:tr>
    </w:tbl>
    <w:p w14:paraId="3F99F0E8" w14:textId="77777777" w:rsidR="000C6B90" w:rsidRDefault="000C6B90" w:rsidP="00127C7D"/>
    <w:p w14:paraId="0FBBBCAA" w14:textId="77777777" w:rsidR="000C6B90" w:rsidRDefault="000C6B90" w:rsidP="00127C7D"/>
    <w:p w14:paraId="30418B11" w14:textId="77777777" w:rsidR="000C6B90" w:rsidRDefault="000C6B90" w:rsidP="00127C7D"/>
    <w:p w14:paraId="5D80E5B0" w14:textId="77777777" w:rsidR="000C6B90" w:rsidRDefault="000C6B90" w:rsidP="00127C7D">
      <w:pPr>
        <w:rPr>
          <w:b/>
          <w:bCs/>
          <w:u w:val="single"/>
        </w:rPr>
      </w:pPr>
      <w:r>
        <w:rPr>
          <w:b/>
          <w:bCs/>
          <w:u w:val="single"/>
        </w:rPr>
        <w:t>Klimarelevanz:</w:t>
      </w:r>
    </w:p>
    <w:p w14:paraId="34F87AF6" w14:textId="77777777" w:rsidR="000C6B90" w:rsidRDefault="000C6B90" w:rsidP="00127C7D">
      <w:pPr>
        <w:rPr>
          <w:bCs/>
        </w:rPr>
      </w:pPr>
      <w:r>
        <w:rPr>
          <w:bCs/>
        </w:rPr>
        <w:t xml:space="preserve">Klimarelevante Themen werden mit dem Kostenerhöhungsbeschluss nicht berührt. Die aktuellen energetischen Standards werden bei der Baumaßnahme berücksichtigt. </w:t>
      </w:r>
    </w:p>
    <w:p w14:paraId="3B920A08" w14:textId="77777777" w:rsidR="000C6B90" w:rsidRDefault="000C6B90" w:rsidP="00127C7D">
      <w:pPr>
        <w:rPr>
          <w:bCs/>
        </w:rPr>
      </w:pPr>
    </w:p>
    <w:p w14:paraId="6C97A680" w14:textId="77777777" w:rsidR="000C6B90" w:rsidRDefault="000C6B90" w:rsidP="00127C7D">
      <w:pPr>
        <w:rPr>
          <w:bCs/>
        </w:rPr>
      </w:pPr>
    </w:p>
    <w:p w14:paraId="10DB754A" w14:textId="77777777" w:rsidR="000C6B90" w:rsidRDefault="000C6B90" w:rsidP="00127C7D">
      <w:pPr>
        <w:rPr>
          <w:bCs/>
        </w:rPr>
      </w:pPr>
    </w:p>
    <w:p w14:paraId="4E2F43DD" w14:textId="77777777" w:rsidR="000C6B90" w:rsidRDefault="000C6B90" w:rsidP="00127C7D">
      <w:pPr>
        <w:rPr>
          <w:bCs/>
        </w:rPr>
      </w:pPr>
    </w:p>
    <w:p w14:paraId="064B6708" w14:textId="77777777" w:rsidR="000C6B90" w:rsidRDefault="000C6B90" w:rsidP="00127C7D"/>
    <w:p w14:paraId="15BC470B" w14:textId="77777777" w:rsidR="000C6B90" w:rsidRDefault="000C6B90" w:rsidP="00127C7D">
      <w:r>
        <w:t>Thomas Westphal</w:t>
      </w:r>
      <w:r>
        <w:tab/>
      </w:r>
      <w:r>
        <w:tab/>
        <w:t xml:space="preserve">Jörg </w:t>
      </w:r>
      <w:proofErr w:type="spellStart"/>
      <w:r>
        <w:t>Stüdemann</w:t>
      </w:r>
      <w:proofErr w:type="spellEnd"/>
      <w:r>
        <w:tab/>
      </w:r>
      <w:r>
        <w:tab/>
        <w:t xml:space="preserve">Birgit </w:t>
      </w:r>
      <w:proofErr w:type="spellStart"/>
      <w:r>
        <w:t>Zoerner</w:t>
      </w:r>
      <w:proofErr w:type="spellEnd"/>
    </w:p>
    <w:p w14:paraId="72FE401E" w14:textId="77777777" w:rsidR="000C6B90" w:rsidRDefault="000C6B90" w:rsidP="00127C7D">
      <w:r>
        <w:rPr>
          <w:sz w:val="18"/>
        </w:rPr>
        <w:t>Oberbürgermeister</w:t>
      </w:r>
      <w:r>
        <w:rPr>
          <w:sz w:val="18"/>
        </w:rPr>
        <w:tab/>
      </w:r>
      <w:r>
        <w:rPr>
          <w:sz w:val="18"/>
        </w:rPr>
        <w:tab/>
        <w:t xml:space="preserve">Stadtdirektor/Stadtkämmerer </w:t>
      </w:r>
      <w:r>
        <w:rPr>
          <w:sz w:val="18"/>
        </w:rPr>
        <w:tab/>
        <w:t>Stadträtin</w:t>
      </w:r>
    </w:p>
    <w:p w14:paraId="1EEEB7E9" w14:textId="77777777" w:rsidR="000C6B90" w:rsidRDefault="000C6B90"/>
    <w:bookmarkEnd w:id="4"/>
    <w:p w14:paraId="4712269B" w14:textId="77777777" w:rsidR="00E521D9" w:rsidRDefault="00E521D9"/>
    <w:p w14:paraId="1E5FF4A8" w14:textId="77777777" w:rsidR="00146C52" w:rsidRDefault="00146C52"/>
    <w:p w14:paraId="62399D88" w14:textId="77777777" w:rsidR="00146C52" w:rsidRDefault="00146C52"/>
    <w:p w14:paraId="575D55B4" w14:textId="77777777" w:rsidR="000C6B90" w:rsidRDefault="000C6B90" w:rsidP="00B145B3">
      <w:pPr>
        <w:rPr>
          <w:bCs/>
        </w:rPr>
      </w:pPr>
      <w:bookmarkStart w:id="5" w:name="Anlage"/>
      <w:r>
        <w:rPr>
          <w:b/>
          <w:bCs/>
          <w:u w:val="single"/>
        </w:rPr>
        <w:t>Begründung:</w:t>
      </w:r>
      <w:r>
        <w:rPr>
          <w:bCs/>
        </w:rPr>
        <w:t xml:space="preserve">  </w:t>
      </w:r>
    </w:p>
    <w:p w14:paraId="32ADB86D" w14:textId="77777777" w:rsidR="000C6B90" w:rsidRDefault="000C6B90" w:rsidP="00B145B3">
      <w:pPr>
        <w:rPr>
          <w:b/>
        </w:rPr>
      </w:pPr>
      <w:r>
        <w:rPr>
          <w:bCs/>
        </w:rPr>
        <w:br/>
      </w:r>
      <w:r>
        <w:rPr>
          <w:b/>
        </w:rPr>
        <w:t>Ausgangssituation</w:t>
      </w:r>
    </w:p>
    <w:p w14:paraId="4D8905DD" w14:textId="77777777" w:rsidR="000C6B90" w:rsidRDefault="000C6B90" w:rsidP="00B145B3">
      <w:pPr>
        <w:rPr>
          <w:bCs/>
        </w:rPr>
      </w:pPr>
    </w:p>
    <w:p w14:paraId="1CB2C814" w14:textId="77777777" w:rsidR="000C6B90" w:rsidRDefault="000C6B90" w:rsidP="00B145B3">
      <w:pPr>
        <w:rPr>
          <w:bCs/>
        </w:rPr>
      </w:pPr>
      <w:r>
        <w:rPr>
          <w:bCs/>
        </w:rPr>
        <w:t xml:space="preserve">Der Rat der Stadt Dortmund hat in seiner Sitzung am 13.02.2020 (DS-Nr. 16306-19) die Baumaßnahme „Neubau der Robbenanlage“ mit einem Gesamtinvestitionsvolumen in Höhe von 12,4 </w:t>
      </w:r>
      <w:proofErr w:type="spellStart"/>
      <w:r>
        <w:rPr>
          <w:bCs/>
        </w:rPr>
        <w:t>Mio</w:t>
      </w:r>
      <w:proofErr w:type="spellEnd"/>
      <w:r>
        <w:rPr>
          <w:bCs/>
        </w:rPr>
        <w:t xml:space="preserve"> € beschlossen (Baubeschluss).</w:t>
      </w:r>
    </w:p>
    <w:p w14:paraId="11B2641C" w14:textId="77777777" w:rsidR="000C6B90" w:rsidRDefault="000C6B90" w:rsidP="00B145B3">
      <w:pPr>
        <w:rPr>
          <w:bCs/>
        </w:rPr>
      </w:pPr>
    </w:p>
    <w:p w14:paraId="03B74C89" w14:textId="77777777" w:rsidR="000C6B90" w:rsidRDefault="000C6B90" w:rsidP="00B145B3">
      <w:r>
        <w:t xml:space="preserve">Zu Beginn des Bauvorhabens war geplant, die Robben während der Bauzeit im alten Becken unterzubringen, während auf der benachbarten Fläche die neue Robbenanlage entsteht. Nach Fertigstellung der Robbenanlage und dem Umzug der Robben in das neue Becken, sollte dann das alte Becken saniert werden. </w:t>
      </w:r>
    </w:p>
    <w:p w14:paraId="29FFC663" w14:textId="77777777" w:rsidR="000C6B90" w:rsidRDefault="000C6B90" w:rsidP="00B145B3"/>
    <w:p w14:paraId="546A9AA8" w14:textId="77777777" w:rsidR="000C6B90" w:rsidRDefault="000C6B90" w:rsidP="00B145B3">
      <w:r>
        <w:t xml:space="preserve">Im Bauverlauf zeigte sich jedoch, dass die Standsicherheit des alten Beckens durch die mechanischen Bautätigkeiten im Umfeld (vor allem am massiven Felsboden) nicht mehr gegeben war. Vor diesem Hintergrund musste zu Beginn der Bauzeit eine neue Lösung zur temporären Unterbringung der Robben gefunden werden, da ein Umzug der Tiere in einen </w:t>
      </w:r>
      <w:r>
        <w:lastRenderedPageBreak/>
        <w:t xml:space="preserve">anderen Zoo einen Vorlauf von mindestens 12 Monaten benötigt und darüber hinaus immense Transportkosten verursacht hätte. </w:t>
      </w:r>
    </w:p>
    <w:p w14:paraId="18BBFEF1" w14:textId="77777777" w:rsidR="000C6B90" w:rsidRDefault="000C6B90" w:rsidP="00B145B3"/>
    <w:p w14:paraId="7F302A34" w14:textId="77777777" w:rsidR="000C6B90" w:rsidRDefault="000C6B90" w:rsidP="00B145B3">
      <w:r>
        <w:t>Nach Abwägung diverser Möglichkeiten (z.B. Neubau eines Beckens im Quarantänebereich des Zoos) wurde entschieden, die ohnehin im Zukunftskonzept Zoo vorgesehene Sanierung des Wasserbeckens der ehemaligen Riesenotteranlage vorzuziehen und für die vorübergehende Haltung der Robben zu ertüchtigen. Diese Variante, die in der Abwägung aller denkbaren Varianten die beste und wirtschaftlichste Lösung darstellte, führte dennoch zu Verzögerungen im weiteren Bauablauf von ca. 12 Monaten.</w:t>
      </w:r>
    </w:p>
    <w:p w14:paraId="75D0181B" w14:textId="77777777" w:rsidR="000C6B90" w:rsidRDefault="000C6B90" w:rsidP="00B145B3">
      <w:pPr>
        <w:rPr>
          <w:bCs/>
        </w:rPr>
      </w:pPr>
    </w:p>
    <w:p w14:paraId="4B39B087" w14:textId="77777777" w:rsidR="000C6B90" w:rsidRDefault="000C6B90" w:rsidP="00B145B3">
      <w:pPr>
        <w:rPr>
          <w:b/>
        </w:rPr>
      </w:pPr>
      <w:r>
        <w:rPr>
          <w:b/>
        </w:rPr>
        <w:t>Aktuelle Kostenentwicklung</w:t>
      </w:r>
    </w:p>
    <w:p w14:paraId="7F361A75" w14:textId="77777777" w:rsidR="000C6B90" w:rsidRDefault="000C6B90" w:rsidP="00B145B3">
      <w:pPr>
        <w:rPr>
          <w:b/>
        </w:rPr>
      </w:pPr>
    </w:p>
    <w:p w14:paraId="59A1FE87" w14:textId="77777777" w:rsidR="000C6B90" w:rsidRDefault="000C6B90" w:rsidP="00B145B3">
      <w:pPr>
        <w:rPr>
          <w:bCs/>
        </w:rPr>
      </w:pPr>
      <w:r>
        <w:rPr>
          <w:bCs/>
        </w:rPr>
        <w:t>Die im Baubeschluss vom 13.02.20 geplanten Gesamtkosten in Höhe von 12,4 Mio. € basieren auf einer Kostenberechnung vom 03.12.2019. Nach der aktuellen Kostenprognose und unter Berücksichtigung aller Nachträge ist eine Kostensteigerung i. H. v. 2,4 Mio. € zu erwarten, so dass die Gesamtkosten auf rd. 14,8 Mio. € (Stand 10.08.2023) steigen.</w:t>
      </w:r>
    </w:p>
    <w:p w14:paraId="36AE5CFB" w14:textId="77777777" w:rsidR="000C6B90" w:rsidRDefault="000C6B90" w:rsidP="00B145B3">
      <w:pPr>
        <w:rPr>
          <w:bCs/>
        </w:rPr>
      </w:pPr>
      <w:r>
        <w:rPr>
          <w:bCs/>
        </w:rPr>
        <w:t xml:space="preserve"> </w:t>
      </w:r>
    </w:p>
    <w:p w14:paraId="5A31DE27" w14:textId="5434998D" w:rsidR="000C6B90" w:rsidRDefault="000C6B90" w:rsidP="00B145B3">
      <w:pPr>
        <w:rPr>
          <w:bCs/>
        </w:rPr>
      </w:pPr>
      <w:r>
        <w:rPr>
          <w:bCs/>
        </w:rPr>
        <w:t xml:space="preserve">Von dieser Kostenüberschreitungssumme sind jedoch rund 600 T € für die nicht geplante Ausweichanlage im Bereich der Otteranlage in Abzug zu bringen. Die Anlage, die als vorübergehende Unterbringungsmöglichkeit für die Robben dient, sollte als Maßnahme des aktuell laufenden Zukunftskonzeptes eine Ertüchtigung der Wasserfläche erfahren. Die Sanierung war ohnehin geplant und ist im Vorgriff auf diese Maßnahme aufgrund der beschriebenen Umstände vorgezogen worden. Daher ist die Kostenüberschreitung in Höhe von 2,4 Mio. </w:t>
      </w:r>
      <w:proofErr w:type="gramStart"/>
      <w:r>
        <w:rPr>
          <w:bCs/>
        </w:rPr>
        <w:t>€</w:t>
      </w:r>
      <w:proofErr w:type="gramEnd"/>
      <w:r>
        <w:rPr>
          <w:bCs/>
        </w:rPr>
        <w:t xml:space="preserve"> um diese Maßnahme zu bereinigen</w:t>
      </w:r>
      <w:r w:rsidR="00457458">
        <w:rPr>
          <w:bCs/>
        </w:rPr>
        <w:t xml:space="preserve"> </w:t>
      </w:r>
      <w:r w:rsidR="00457458" w:rsidRPr="00852F12">
        <w:rPr>
          <w:bCs/>
        </w:rPr>
        <w:t>(Umbuchung auf die Kostenstelle „Riesenotteranlage“ ist bereits erfolgt)</w:t>
      </w:r>
      <w:r>
        <w:rPr>
          <w:bCs/>
        </w:rPr>
        <w:t>, so dass aktuell eine Überschreitung gegenüber dem Ursprungsbudget im Umfang von 1,8 Mio. € (+ 14,5%) vorliegt.</w:t>
      </w:r>
    </w:p>
    <w:p w14:paraId="46245742" w14:textId="77777777" w:rsidR="000C6B90" w:rsidRDefault="000C6B90" w:rsidP="00B145B3">
      <w:pPr>
        <w:rPr>
          <w:bCs/>
        </w:rPr>
      </w:pPr>
    </w:p>
    <w:p w14:paraId="7B3457B0" w14:textId="77777777" w:rsidR="000C6B90" w:rsidRDefault="000C6B90" w:rsidP="00B145B3">
      <w:pPr>
        <w:rPr>
          <w:b/>
        </w:rPr>
      </w:pPr>
      <w:r>
        <w:rPr>
          <w:b/>
        </w:rPr>
        <w:t>Gründe für die Kostenüberschreitung</w:t>
      </w:r>
    </w:p>
    <w:p w14:paraId="2214FD8A" w14:textId="77777777" w:rsidR="000C6B90" w:rsidRDefault="000C6B90" w:rsidP="00B145B3">
      <w:pPr>
        <w:rPr>
          <w:bCs/>
        </w:rPr>
      </w:pPr>
    </w:p>
    <w:p w14:paraId="1A4F61B0" w14:textId="77777777" w:rsidR="000C6B90" w:rsidRDefault="000C6B90" w:rsidP="000C6B90">
      <w:pPr>
        <w:pStyle w:val="Listenabsatz"/>
        <w:widowControl/>
        <w:numPr>
          <w:ilvl w:val="0"/>
          <w:numId w:val="2"/>
        </w:numPr>
        <w:overflowPunct/>
        <w:autoSpaceDE/>
        <w:adjustRightInd/>
        <w:rPr>
          <w:u w:val="single"/>
        </w:rPr>
      </w:pPr>
      <w:r>
        <w:rPr>
          <w:u w:val="single"/>
        </w:rPr>
        <w:t>Bauherrenseitige Bauverzögerungen:</w:t>
      </w:r>
    </w:p>
    <w:p w14:paraId="72636C82" w14:textId="77777777" w:rsidR="000C6B90" w:rsidRDefault="000C6B90" w:rsidP="00B145B3">
      <w:pPr>
        <w:pStyle w:val="Listenabsatz"/>
        <w:widowControl/>
        <w:overflowPunct/>
        <w:autoSpaceDE/>
        <w:adjustRightInd/>
        <w:rPr>
          <w:u w:val="single"/>
        </w:rPr>
      </w:pPr>
    </w:p>
    <w:p w14:paraId="6B46B3AE" w14:textId="77777777" w:rsidR="000C6B90" w:rsidRDefault="000C6B90" w:rsidP="00B145B3">
      <w:r>
        <w:t>Auf Grund der Notwendigkeit zur Umplanung bei der temporären Unterbringung der Robben konnte der ursprüngliche, mit den Ausschreibungsunterlagen versandte Bauzeitenplan, nicht mehr eingehalten werden. In der Folge waren die bereits beauftragten Unternehmen nicht mehr an ihre Angebotspreise gebunden und haben entsprechende Nachträge gestellt. Ebenso haben die beteiligten Planungsbüros und das beauftragte Projektsteuerungsbüro Ansprüche auf Mehrkosten auf Grund der Projektzeitverlängerung angemeldet.</w:t>
      </w:r>
    </w:p>
    <w:p w14:paraId="12680F2D" w14:textId="77777777" w:rsidR="000C6B90" w:rsidRDefault="000C6B90" w:rsidP="00B145B3"/>
    <w:p w14:paraId="3D1AF9A7" w14:textId="77777777" w:rsidR="000C6B90" w:rsidRDefault="000C6B90" w:rsidP="000C6B90">
      <w:pPr>
        <w:pStyle w:val="Listenabsatz"/>
        <w:widowControl/>
        <w:numPr>
          <w:ilvl w:val="0"/>
          <w:numId w:val="2"/>
        </w:numPr>
        <w:overflowPunct/>
        <w:autoSpaceDE/>
        <w:adjustRightInd/>
        <w:rPr>
          <w:u w:val="single"/>
        </w:rPr>
      </w:pPr>
      <w:r>
        <w:rPr>
          <w:u w:val="single"/>
        </w:rPr>
        <w:t>Materialpreissteigerungen auf Grund der Corona- und Energiekrise:</w:t>
      </w:r>
    </w:p>
    <w:p w14:paraId="4EE8605F" w14:textId="77777777" w:rsidR="000C6B90" w:rsidRDefault="000C6B90" w:rsidP="00B145B3">
      <w:pPr>
        <w:pStyle w:val="Listenabsatz"/>
        <w:widowControl/>
        <w:overflowPunct/>
        <w:autoSpaceDE/>
        <w:adjustRightInd/>
        <w:rPr>
          <w:u w:val="single"/>
        </w:rPr>
      </w:pPr>
    </w:p>
    <w:p w14:paraId="43C5FB25" w14:textId="77777777" w:rsidR="000C6B90" w:rsidRDefault="000C6B90" w:rsidP="00B145B3">
      <w:r>
        <w:t xml:space="preserve">Es ist vermehrt zu Nachträgen bei bestehenden Aufträgen gekommen, die zu erheblichen Mehrkosten geführt haben. </w:t>
      </w:r>
    </w:p>
    <w:p w14:paraId="1D40A418" w14:textId="77777777" w:rsidR="000C6B90" w:rsidRDefault="000C6B90" w:rsidP="00B145B3">
      <w:pPr>
        <w:ind w:left="709"/>
      </w:pPr>
    </w:p>
    <w:p w14:paraId="53E3E48A" w14:textId="77777777" w:rsidR="000C6B90" w:rsidRDefault="000C6B90" w:rsidP="00B145B3">
      <w:r>
        <w:t>Hierzu zählten insbesondere die Materialpreissteigerungen im Stahl-/Edelstahlbereich und der verbauten Kunststoffverrohrungen. Zudem musste auf Grund der Energiekrise in Verbindung mit der Gasmangellage eine Umplanung der Wärmeversorgung auf eine sog. „Luft-Wärme-Pumpe“ erfolgen, was ebenfalls Mehrkosten zur Folge hatte.</w:t>
      </w:r>
    </w:p>
    <w:p w14:paraId="68C36855" w14:textId="77777777" w:rsidR="000C6B90" w:rsidRDefault="000C6B90" w:rsidP="00B145B3"/>
    <w:p w14:paraId="2B867BCB" w14:textId="34C030AC" w:rsidR="000C6B90" w:rsidRDefault="000C6B90" w:rsidP="00B145B3">
      <w:r>
        <w:t xml:space="preserve">Auf Grundlage der vom Bundesministerium für Wohnen, Stadtentwicklung und Bauwesen erlassenen Regelungen zur Anwendung der sogenannten „Preisgleitklausel“ und in Abstimmung mit der Städtischen Immobilienwirtschaft und des städtischen Rechtsamtes, </w:t>
      </w:r>
      <w:r w:rsidR="00457458">
        <w:t>wurden daher begründete und nachgewiesene Materialpreissteigerungen anerkannt.</w:t>
      </w:r>
    </w:p>
    <w:p w14:paraId="6147D856" w14:textId="77777777" w:rsidR="000C6B90" w:rsidRDefault="000C6B90" w:rsidP="00B145B3"/>
    <w:p w14:paraId="1C4340EC" w14:textId="77777777" w:rsidR="000C6B90" w:rsidRDefault="000C6B90" w:rsidP="000C6B90">
      <w:pPr>
        <w:pStyle w:val="Listenabsatz"/>
        <w:widowControl/>
        <w:numPr>
          <w:ilvl w:val="0"/>
          <w:numId w:val="2"/>
        </w:numPr>
        <w:overflowPunct/>
        <w:autoSpaceDE/>
        <w:adjustRightInd/>
        <w:rPr>
          <w:u w:val="single"/>
        </w:rPr>
      </w:pPr>
      <w:r>
        <w:rPr>
          <w:u w:val="single"/>
        </w:rPr>
        <w:lastRenderedPageBreak/>
        <w:t>Zusätzliche Arbeiten, die nicht im ursprünglichen Planbudget enthalten waren:</w:t>
      </w:r>
    </w:p>
    <w:p w14:paraId="5B1E63DE" w14:textId="77777777" w:rsidR="000C6B90" w:rsidRDefault="000C6B90" w:rsidP="00B145B3"/>
    <w:p w14:paraId="37EA1616" w14:textId="77777777" w:rsidR="000C6B90" w:rsidRDefault="000C6B90" w:rsidP="00B145B3">
      <w:r>
        <w:t>Im Zuge der Abstimmung mit dem Behindertenpolitischen Netzwerk (BPN) wurde darauf hingewiesen, dass eine zusätzliche Rampe für die Tribünenanlage notwendig ist, die bis dahin nicht in der Planung enthalten war. Ebenso musste bei der Wiedereinbringung des ausgehobenen Bodens auf Grund der Wetterlage (Starkregen und dadurch verunreinigter Boden) der bauseits gelagerte Boden zusätzlich aufbereitet werden. Zudem musste aus zoologischer Sicht und aufgrund der Vorgaben der Zoovereinigung „EAZA“ eine Umplanung von Süß- auf Salzwasser (veränderte Planung und Ausführung der technischen Anlagen) erfolgen.</w:t>
      </w:r>
    </w:p>
    <w:p w14:paraId="2A5E2D0D" w14:textId="77777777" w:rsidR="000C6B90" w:rsidRDefault="000C6B90" w:rsidP="00B145B3">
      <w:pPr>
        <w:rPr>
          <w:bCs/>
        </w:rPr>
      </w:pPr>
    </w:p>
    <w:p w14:paraId="79F30424" w14:textId="77777777" w:rsidR="000C6B90" w:rsidRDefault="000C6B90" w:rsidP="00B145B3">
      <w:pPr>
        <w:rPr>
          <w:b/>
        </w:rPr>
      </w:pPr>
      <w:r>
        <w:rPr>
          <w:b/>
        </w:rPr>
        <w:t>Risiken und Chancen</w:t>
      </w:r>
    </w:p>
    <w:p w14:paraId="7AF2D0A9" w14:textId="77777777" w:rsidR="000C6B90" w:rsidRDefault="000C6B90" w:rsidP="00B145B3">
      <w:pPr>
        <w:rPr>
          <w:bCs/>
        </w:rPr>
      </w:pPr>
    </w:p>
    <w:p w14:paraId="503BDFB3" w14:textId="77777777" w:rsidR="000C6B90" w:rsidRDefault="000C6B90" w:rsidP="00B145B3">
      <w:pPr>
        <w:rPr>
          <w:bCs/>
          <w:u w:val="single"/>
        </w:rPr>
      </w:pPr>
      <w:r>
        <w:rPr>
          <w:bCs/>
          <w:u w:val="single"/>
        </w:rPr>
        <w:t>Risiken:</w:t>
      </w:r>
    </w:p>
    <w:p w14:paraId="2401BD0E" w14:textId="77777777" w:rsidR="000C6B90" w:rsidRDefault="000C6B90" w:rsidP="00B145B3">
      <w:pPr>
        <w:rPr>
          <w:bCs/>
        </w:rPr>
      </w:pPr>
    </w:p>
    <w:p w14:paraId="71BE928E" w14:textId="77777777" w:rsidR="000C6B90" w:rsidRDefault="000C6B90" w:rsidP="00B145B3">
      <w:pPr>
        <w:rPr>
          <w:bCs/>
        </w:rPr>
      </w:pPr>
      <w:r>
        <w:rPr>
          <w:bCs/>
        </w:rPr>
        <w:t xml:space="preserve">Um alle sich eventuell ergebenden Projektrisiken bis zum geplanten Bauzeitenende im Frühjahr 2024 aufzuzeigen, hat das beauftragte Projektsteuerungsbüro eine sogenannte „Risikoanalyse“ über alle noch folgenden Gewerke und Kostengruppen vorgenommen und dazu die zu erwartenden Nachtragsrisiken sowie die Baukostensteigerungen gemäß Statistischen Bundesamt betrachtet. Demnach ergibt sich mit Datum vom 10.08.2023 eine Kostenprognose inkl. Risikozuschlag von zusätzlichen 1,8 Mio. € gegenüber der aktuellen Kostenprognose in Höhe von 14,2 Mio. € (+ 11,5%). </w:t>
      </w:r>
    </w:p>
    <w:p w14:paraId="370954F0" w14:textId="77777777" w:rsidR="000C6B90" w:rsidRDefault="000C6B90" w:rsidP="00B145B3">
      <w:pPr>
        <w:rPr>
          <w:bCs/>
        </w:rPr>
      </w:pPr>
    </w:p>
    <w:p w14:paraId="7C0C3EB2" w14:textId="77777777" w:rsidR="000C6B90" w:rsidRDefault="000C6B90" w:rsidP="00B145B3">
      <w:pPr>
        <w:rPr>
          <w:bCs/>
        </w:rPr>
      </w:pPr>
      <w:r>
        <w:rPr>
          <w:bCs/>
        </w:rPr>
        <w:t>Die allgemeine Baupreissteigerung gemäß Statistischen Bundesamt (Stand 10.08.2023) gegenüber der ursprünglichen Kostenberechnung vom 03.12.2019 beträgt 39,8 %. Die aktuell im Projekt entstandenen Mehrkosten in Höhe von 1,8 Mio. € zzgl. der Risikozuschläge für die noch folgenden Gewerke in Höhe von 1,8 Mio. € ergibt eine Gesamtkostensteigerung von insgesamt 3,6 Mio. € (+ 29 %), die damit allerdings noch unterhalb der allgemeinen Baukostensteigerung liegt.</w:t>
      </w:r>
    </w:p>
    <w:p w14:paraId="7CCE25C0" w14:textId="77777777" w:rsidR="000C6B90" w:rsidRDefault="000C6B90" w:rsidP="00B145B3">
      <w:pPr>
        <w:rPr>
          <w:bCs/>
        </w:rPr>
      </w:pPr>
    </w:p>
    <w:p w14:paraId="0B8B36F5" w14:textId="77777777" w:rsidR="000C6B90" w:rsidRDefault="000C6B90" w:rsidP="00B145B3">
      <w:pPr>
        <w:rPr>
          <w:bCs/>
          <w:u w:val="single"/>
        </w:rPr>
      </w:pPr>
      <w:r>
        <w:rPr>
          <w:bCs/>
          <w:u w:val="single"/>
        </w:rPr>
        <w:t>Chancen:</w:t>
      </w:r>
    </w:p>
    <w:p w14:paraId="76C80062" w14:textId="77777777" w:rsidR="000C6B90" w:rsidRDefault="000C6B90" w:rsidP="00B145B3">
      <w:pPr>
        <w:rPr>
          <w:bCs/>
          <w:u w:val="single"/>
        </w:rPr>
      </w:pPr>
    </w:p>
    <w:p w14:paraId="71C3B652" w14:textId="77777777" w:rsidR="000C6B90" w:rsidRDefault="000C6B90" w:rsidP="00B145B3">
      <w:pPr>
        <w:rPr>
          <w:bCs/>
        </w:rPr>
      </w:pPr>
      <w:r>
        <w:rPr>
          <w:bCs/>
        </w:rPr>
        <w:t>Innerhalb des Projektteams wurden fortlaufend Kosteneinsparungspotentiale untersucht und geprüft. Auf Grund des fortgeschrittenen Bauablaufes und der Vertragslage wurden diverse Ideen zu potenziellen Kosteneinsparungen verworfen, da Schadensersatzansprüche angedroht wurden. Kosteneinsparungen konnten beispielsweise im Bereich des Bodenaufbaus (günstigere Pflasterung anstatt Asphalt) erzielt werden.</w:t>
      </w:r>
    </w:p>
    <w:p w14:paraId="7C365867" w14:textId="77777777" w:rsidR="000C6B90" w:rsidRDefault="000C6B90" w:rsidP="00B145B3">
      <w:pPr>
        <w:rPr>
          <w:bCs/>
        </w:rPr>
      </w:pPr>
    </w:p>
    <w:p w14:paraId="4BEA67EB" w14:textId="1C8D7FF8" w:rsidR="000C6B90" w:rsidRDefault="000C6B90" w:rsidP="00B145B3">
      <w:pPr>
        <w:rPr>
          <w:bCs/>
        </w:rPr>
      </w:pPr>
      <w:r>
        <w:rPr>
          <w:bCs/>
        </w:rPr>
        <w:t>Zudem werden potenzielle Schadensersatzforderungen in Höhe von derzeit ca. 20 T €</w:t>
      </w:r>
      <w:r>
        <w:rPr>
          <w:bCs/>
          <w:color w:val="FF0000"/>
        </w:rPr>
        <w:t xml:space="preserve"> </w:t>
      </w:r>
      <w:r>
        <w:rPr>
          <w:bCs/>
        </w:rPr>
        <w:t xml:space="preserve">auf Grund nicht ordnungs- und fachgemäß ausgeführter Arbeiten der Firmen geprüft, juristisch bewertet und im Falle einer berechtigten Forderung bis zum Projektabschluss in Abzug gebracht. Wie bei allen Baumaßnahmen können weitergehende </w:t>
      </w:r>
      <w:r w:rsidR="00BF1B4E">
        <w:rPr>
          <w:bCs/>
        </w:rPr>
        <w:t>poten</w:t>
      </w:r>
      <w:r w:rsidR="00E65452">
        <w:rPr>
          <w:bCs/>
        </w:rPr>
        <w:t>zi</w:t>
      </w:r>
      <w:r w:rsidR="00BF1B4E">
        <w:rPr>
          <w:bCs/>
        </w:rPr>
        <w:t xml:space="preserve">elle </w:t>
      </w:r>
      <w:r>
        <w:rPr>
          <w:bCs/>
        </w:rPr>
        <w:t>Schadensersatzforderungen zum aktuellen Zeitpunkt nicht prognostiziert, jedoch im weiteren Bauablauf auch nicht ausgeschlossen werden.</w:t>
      </w:r>
    </w:p>
    <w:p w14:paraId="7AA18FFD" w14:textId="77777777" w:rsidR="000C6B90" w:rsidRDefault="000C6B90" w:rsidP="00B145B3">
      <w:pPr>
        <w:rPr>
          <w:bCs/>
        </w:rPr>
      </w:pPr>
    </w:p>
    <w:p w14:paraId="231DD326" w14:textId="77777777" w:rsidR="000C6B90" w:rsidRDefault="000C6B90" w:rsidP="00B145B3">
      <w:pPr>
        <w:rPr>
          <w:bCs/>
        </w:rPr>
      </w:pPr>
      <w:r>
        <w:rPr>
          <w:bCs/>
        </w:rPr>
        <w:t>Weitere Drittmittel in Form von Erbschaften, Spenden und generierten Fördermittel wurden während der Projektlaufzeit in einer Größenordnung von rund 431 T € erzielt.</w:t>
      </w:r>
    </w:p>
    <w:p w14:paraId="4A3A248F" w14:textId="77777777" w:rsidR="000C6B90" w:rsidRDefault="000C6B90" w:rsidP="00B145B3">
      <w:pPr>
        <w:rPr>
          <w:bCs/>
        </w:rPr>
      </w:pPr>
    </w:p>
    <w:p w14:paraId="33994DED" w14:textId="77777777" w:rsidR="000C6B90" w:rsidRDefault="000C6B90" w:rsidP="00B145B3">
      <w:pPr>
        <w:rPr>
          <w:b/>
        </w:rPr>
      </w:pPr>
      <w:r>
        <w:rPr>
          <w:b/>
        </w:rPr>
        <w:t>Begründung der Zuständigkeit</w:t>
      </w:r>
    </w:p>
    <w:p w14:paraId="1B4F5DFC" w14:textId="77777777" w:rsidR="000C6B90" w:rsidRDefault="000C6B90">
      <w:r>
        <w:rPr>
          <w:rFonts w:cs="Arial"/>
        </w:rPr>
        <w:t>Die Zuständigkeit des Rates folgt aus § 41 der Gemeindeordnung für das Land Nordrhein-Westfalen in Verbindung mit § 6 Absatz 2 der Betriebssatzung für die Sport- und Freizeitbetriebe Dortmund in der Fassung der Bekanntmachung vom 29.03.2012.</w:t>
      </w:r>
      <w:r>
        <w:t xml:space="preserve"> </w:t>
      </w:r>
    </w:p>
    <w:bookmarkEnd w:id="5"/>
    <w:p w14:paraId="4ED53AB4" w14:textId="77777777" w:rsidR="00E521D9" w:rsidRDefault="00E521D9"/>
    <w:sectPr w:rsidR="00E521D9" w:rsidSect="003C0BFA">
      <w:headerReference w:type="default" r:id="rId7"/>
      <w:headerReference w:type="first" r:id="rId8"/>
      <w:type w:val="continuous"/>
      <w:pgSz w:w="11907" w:h="16840" w:code="9"/>
      <w:pgMar w:top="2098" w:right="1418" w:bottom="1134" w:left="1418"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F412" w14:textId="77777777" w:rsidR="000C6B90" w:rsidRDefault="000C6B90">
      <w:r>
        <w:separator/>
      </w:r>
    </w:p>
  </w:endnote>
  <w:endnote w:type="continuationSeparator" w:id="0">
    <w:p w14:paraId="4B23A28F" w14:textId="77777777" w:rsidR="000C6B90" w:rsidRDefault="000C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E108" w14:textId="77777777" w:rsidR="000C6B90" w:rsidRDefault="000C6B90">
      <w:r>
        <w:separator/>
      </w:r>
    </w:p>
  </w:footnote>
  <w:footnote w:type="continuationSeparator" w:id="0">
    <w:p w14:paraId="1D23ED53" w14:textId="77777777" w:rsidR="000C6B90" w:rsidRDefault="000C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7480" w14:textId="241EBFCF" w:rsidR="00A81D06" w:rsidRDefault="00283DD3" w:rsidP="00154DBD">
    <w:pPr>
      <w:pStyle w:val="Kopfzeile"/>
      <w:jc w:val="right"/>
    </w:pPr>
    <w:r>
      <w:rPr>
        <w:noProof/>
      </w:rPr>
      <w:drawing>
        <wp:anchor distT="0" distB="0" distL="114300" distR="114300" simplePos="0" relativeHeight="251665408" behindDoc="1" locked="0" layoutInCell="1" allowOverlap="1" wp14:anchorId="5D877B22" wp14:editId="318BA84F">
          <wp:simplePos x="0" y="0"/>
          <wp:positionH relativeFrom="page">
            <wp:align>left</wp:align>
          </wp:positionH>
          <wp:positionV relativeFrom="paragraph">
            <wp:posOffset>-442609</wp:posOffset>
          </wp:positionV>
          <wp:extent cx="7603200" cy="1162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_GIS_nurkopf.jpg"/>
                  <pic:cNvPicPr/>
                </pic:nvPicPr>
                <pic:blipFill>
                  <a:blip r:embed="rId1">
                    <a:extLst>
                      <a:ext uri="{28A0092B-C50C-407E-A947-70E740481C1C}">
                        <a14:useLocalDpi xmlns:a14="http://schemas.microsoft.com/office/drawing/2010/main" val="0"/>
                      </a:ext>
                    </a:extLst>
                  </a:blip>
                  <a:stretch>
                    <a:fillRect/>
                  </a:stretch>
                </pic:blipFill>
                <pic:spPr>
                  <a:xfrm>
                    <a:off x="0" y="0"/>
                    <a:ext cx="7603200" cy="1162800"/>
                  </a:xfrm>
                  <a:prstGeom prst="rect">
                    <a:avLst/>
                  </a:prstGeom>
                </pic:spPr>
              </pic:pic>
            </a:graphicData>
          </a:graphic>
          <wp14:sizeRelH relativeFrom="margin">
            <wp14:pctWidth>0</wp14:pctWidth>
          </wp14:sizeRelH>
          <wp14:sizeRelV relativeFrom="margin">
            <wp14:pctHeight>0</wp14:pctHeight>
          </wp14:sizeRelV>
        </wp:anchor>
      </w:drawing>
    </w:r>
    <w:r w:rsidR="00A81D06">
      <w:rPr>
        <w:noProof/>
      </w:rPr>
      <w:t xml:space="preserve">Drucksache Nr.: </w:t>
    </w:r>
    <w:r w:rsidR="001E2D6F">
      <w:rPr>
        <w:noProof/>
      </w:rPr>
      <w:fldChar w:fldCharType="begin"/>
    </w:r>
    <w:r w:rsidR="001E2D6F">
      <w:rPr>
        <w:noProof/>
      </w:rPr>
      <w:instrText xml:space="preserve"> REF BM_voname \h </w:instrText>
    </w:r>
    <w:r w:rsidR="001E2D6F">
      <w:rPr>
        <w:noProof/>
      </w:rPr>
    </w:r>
    <w:r w:rsidR="001E2D6F">
      <w:rPr>
        <w:noProof/>
      </w:rPr>
      <w:fldChar w:fldCharType="separate"/>
    </w:r>
    <w:r w:rsidR="00457458" w:rsidRPr="00D73FC3">
      <w:rPr>
        <w:b/>
        <w:noProof/>
        <w:sz w:val="28"/>
        <w:szCs w:val="28"/>
      </w:rPr>
      <w:t>32386-23</w:t>
    </w:r>
    <w:r w:rsidR="001E2D6F">
      <w:rPr>
        <w:noProof/>
      </w:rPr>
      <w:fldChar w:fldCharType="end"/>
    </w:r>
  </w:p>
  <w:p w14:paraId="63D423CC" w14:textId="77777777" w:rsidR="00C13756" w:rsidRDefault="000635BF" w:rsidP="00154DBD">
    <w:pPr>
      <w:pStyle w:val="Kopfzeile"/>
      <w:jc w:val="right"/>
    </w:pPr>
    <w:r>
      <w:t xml:space="preserve">Seite </w:t>
    </w:r>
    <w:r w:rsidR="00C13756">
      <w:fldChar w:fldCharType="begin"/>
    </w:r>
    <w:r w:rsidR="00C13756">
      <w:instrText>PAGE   \* MERGEFORMAT</w:instrText>
    </w:r>
    <w:r w:rsidR="00C13756">
      <w:fldChar w:fldCharType="separate"/>
    </w:r>
    <w:r w:rsidR="000F1D12">
      <w:rPr>
        <w:noProof/>
      </w:rPr>
      <w:t>2</w:t>
    </w:r>
    <w:r w:rsidR="00C13756">
      <w:fldChar w:fldCharType="end"/>
    </w:r>
  </w:p>
  <w:p w14:paraId="5C6E2605" w14:textId="77777777" w:rsidR="00C13756" w:rsidRDefault="00C137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5A2F" w14:textId="77777777" w:rsidR="004C5C9A" w:rsidRDefault="00283DD3" w:rsidP="003C0BFA">
    <w:pPr>
      <w:pStyle w:val="Kopfzeile"/>
    </w:pPr>
    <w:r>
      <w:rPr>
        <w:noProof/>
      </w:rPr>
      <w:drawing>
        <wp:anchor distT="0" distB="0" distL="114300" distR="114300" simplePos="0" relativeHeight="251663360" behindDoc="1" locked="0" layoutInCell="1" allowOverlap="1" wp14:anchorId="55C4BA30" wp14:editId="772794F5">
          <wp:simplePos x="0" y="0"/>
          <wp:positionH relativeFrom="page">
            <wp:align>left</wp:align>
          </wp:positionH>
          <wp:positionV relativeFrom="paragraph">
            <wp:posOffset>-457200</wp:posOffset>
          </wp:positionV>
          <wp:extent cx="7603200" cy="1162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_GIS_nurkopf.jpg"/>
                  <pic:cNvPicPr/>
                </pic:nvPicPr>
                <pic:blipFill>
                  <a:blip r:embed="rId1">
                    <a:extLst>
                      <a:ext uri="{28A0092B-C50C-407E-A947-70E740481C1C}">
                        <a14:useLocalDpi xmlns:a14="http://schemas.microsoft.com/office/drawing/2010/main" val="0"/>
                      </a:ext>
                    </a:extLst>
                  </a:blip>
                  <a:stretch>
                    <a:fillRect/>
                  </a:stretch>
                </pic:blipFill>
                <pic:spPr>
                  <a:xfrm>
                    <a:off x="0" y="0"/>
                    <a:ext cx="7603200" cy="116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4F48"/>
    <w:multiLevelType w:val="hybridMultilevel"/>
    <w:tmpl w:val="1766F3CA"/>
    <w:lvl w:ilvl="0" w:tplc="069602E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5C655516"/>
    <w:multiLevelType w:val="hybridMultilevel"/>
    <w:tmpl w:val="BF3E23B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16cid:durableId="774180391">
    <w:abstractNumId w:val="0"/>
  </w:num>
  <w:num w:numId="2" w16cid:durableId="1677151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90"/>
    <w:rsid w:val="00015643"/>
    <w:rsid w:val="00023A27"/>
    <w:rsid w:val="00035A48"/>
    <w:rsid w:val="00051B0D"/>
    <w:rsid w:val="00054BE4"/>
    <w:rsid w:val="0005694D"/>
    <w:rsid w:val="000635BF"/>
    <w:rsid w:val="00084C35"/>
    <w:rsid w:val="00086AF7"/>
    <w:rsid w:val="00095B80"/>
    <w:rsid w:val="000B34E9"/>
    <w:rsid w:val="000C6B90"/>
    <w:rsid w:val="000D0352"/>
    <w:rsid w:val="000D4B84"/>
    <w:rsid w:val="000E3853"/>
    <w:rsid w:val="000F1D12"/>
    <w:rsid w:val="000F27C4"/>
    <w:rsid w:val="000F31AA"/>
    <w:rsid w:val="000F5BEE"/>
    <w:rsid w:val="000F6EF5"/>
    <w:rsid w:val="00110A33"/>
    <w:rsid w:val="00122DB6"/>
    <w:rsid w:val="00146C52"/>
    <w:rsid w:val="00154DBD"/>
    <w:rsid w:val="00170F58"/>
    <w:rsid w:val="0017542E"/>
    <w:rsid w:val="00181DDE"/>
    <w:rsid w:val="001900DE"/>
    <w:rsid w:val="00194843"/>
    <w:rsid w:val="001A0F98"/>
    <w:rsid w:val="001B068A"/>
    <w:rsid w:val="001B182B"/>
    <w:rsid w:val="001C3C68"/>
    <w:rsid w:val="001C459F"/>
    <w:rsid w:val="001C541E"/>
    <w:rsid w:val="001E2D6F"/>
    <w:rsid w:val="002010BB"/>
    <w:rsid w:val="00221526"/>
    <w:rsid w:val="00231E66"/>
    <w:rsid w:val="00237AD3"/>
    <w:rsid w:val="00262743"/>
    <w:rsid w:val="00266D36"/>
    <w:rsid w:val="00283DD3"/>
    <w:rsid w:val="002A3F0E"/>
    <w:rsid w:val="002A602E"/>
    <w:rsid w:val="002B4B74"/>
    <w:rsid w:val="002C4164"/>
    <w:rsid w:val="002D08BD"/>
    <w:rsid w:val="002E3FC5"/>
    <w:rsid w:val="002F2E0B"/>
    <w:rsid w:val="00303B65"/>
    <w:rsid w:val="00326F69"/>
    <w:rsid w:val="00361208"/>
    <w:rsid w:val="00363327"/>
    <w:rsid w:val="00377FD4"/>
    <w:rsid w:val="003B0FD3"/>
    <w:rsid w:val="003B2A2C"/>
    <w:rsid w:val="003C0BFA"/>
    <w:rsid w:val="003D3CE8"/>
    <w:rsid w:val="003D7341"/>
    <w:rsid w:val="003E679E"/>
    <w:rsid w:val="004212B4"/>
    <w:rsid w:val="00422D5F"/>
    <w:rsid w:val="00424D24"/>
    <w:rsid w:val="004378D5"/>
    <w:rsid w:val="00457371"/>
    <w:rsid w:val="00457458"/>
    <w:rsid w:val="00460E0F"/>
    <w:rsid w:val="00463621"/>
    <w:rsid w:val="004706A1"/>
    <w:rsid w:val="004753E5"/>
    <w:rsid w:val="00481034"/>
    <w:rsid w:val="004A051C"/>
    <w:rsid w:val="004A6FF8"/>
    <w:rsid w:val="004B5AAF"/>
    <w:rsid w:val="004B7193"/>
    <w:rsid w:val="004C2CD9"/>
    <w:rsid w:val="004C4AA6"/>
    <w:rsid w:val="004C5C9A"/>
    <w:rsid w:val="004D5B96"/>
    <w:rsid w:val="00502829"/>
    <w:rsid w:val="0050754B"/>
    <w:rsid w:val="00523E33"/>
    <w:rsid w:val="00525D4F"/>
    <w:rsid w:val="00532876"/>
    <w:rsid w:val="00537017"/>
    <w:rsid w:val="00541F61"/>
    <w:rsid w:val="00543579"/>
    <w:rsid w:val="00566C52"/>
    <w:rsid w:val="005A5B5B"/>
    <w:rsid w:val="005B1B4D"/>
    <w:rsid w:val="005B74EA"/>
    <w:rsid w:val="005D21E4"/>
    <w:rsid w:val="005D43D7"/>
    <w:rsid w:val="005E6322"/>
    <w:rsid w:val="005F2DED"/>
    <w:rsid w:val="006053A6"/>
    <w:rsid w:val="00606F73"/>
    <w:rsid w:val="00607764"/>
    <w:rsid w:val="00610BDF"/>
    <w:rsid w:val="0062680D"/>
    <w:rsid w:val="00645425"/>
    <w:rsid w:val="006458D3"/>
    <w:rsid w:val="00657FD2"/>
    <w:rsid w:val="00660BB6"/>
    <w:rsid w:val="0066390B"/>
    <w:rsid w:val="006700AF"/>
    <w:rsid w:val="0067250A"/>
    <w:rsid w:val="006726AA"/>
    <w:rsid w:val="00680BC2"/>
    <w:rsid w:val="006A5004"/>
    <w:rsid w:val="006E0CAE"/>
    <w:rsid w:val="006F22EC"/>
    <w:rsid w:val="006F4941"/>
    <w:rsid w:val="007051C1"/>
    <w:rsid w:val="00717618"/>
    <w:rsid w:val="00724EDD"/>
    <w:rsid w:val="007270B3"/>
    <w:rsid w:val="00737795"/>
    <w:rsid w:val="00754680"/>
    <w:rsid w:val="007703E2"/>
    <w:rsid w:val="00775E76"/>
    <w:rsid w:val="00794E28"/>
    <w:rsid w:val="007A0ECB"/>
    <w:rsid w:val="007B473D"/>
    <w:rsid w:val="007B6960"/>
    <w:rsid w:val="007C0EE2"/>
    <w:rsid w:val="007C2CF2"/>
    <w:rsid w:val="007C483E"/>
    <w:rsid w:val="007E1759"/>
    <w:rsid w:val="007F5F1C"/>
    <w:rsid w:val="00806988"/>
    <w:rsid w:val="008072D7"/>
    <w:rsid w:val="00812247"/>
    <w:rsid w:val="00812529"/>
    <w:rsid w:val="00816651"/>
    <w:rsid w:val="00853854"/>
    <w:rsid w:val="00853B79"/>
    <w:rsid w:val="0088614F"/>
    <w:rsid w:val="008A08DD"/>
    <w:rsid w:val="008A562C"/>
    <w:rsid w:val="008B3CD4"/>
    <w:rsid w:val="008C0061"/>
    <w:rsid w:val="008E439F"/>
    <w:rsid w:val="008F6B54"/>
    <w:rsid w:val="00905174"/>
    <w:rsid w:val="009750AC"/>
    <w:rsid w:val="009A0F0E"/>
    <w:rsid w:val="00A03766"/>
    <w:rsid w:val="00A068AB"/>
    <w:rsid w:val="00A12975"/>
    <w:rsid w:val="00A13CA8"/>
    <w:rsid w:val="00A21F44"/>
    <w:rsid w:val="00A401DB"/>
    <w:rsid w:val="00A4031A"/>
    <w:rsid w:val="00A51C16"/>
    <w:rsid w:val="00A53CED"/>
    <w:rsid w:val="00A54462"/>
    <w:rsid w:val="00A80727"/>
    <w:rsid w:val="00A81D06"/>
    <w:rsid w:val="00A8309E"/>
    <w:rsid w:val="00A9126E"/>
    <w:rsid w:val="00AB2F41"/>
    <w:rsid w:val="00AC7B1A"/>
    <w:rsid w:val="00AD3453"/>
    <w:rsid w:val="00B0799C"/>
    <w:rsid w:val="00B23F52"/>
    <w:rsid w:val="00B24AD3"/>
    <w:rsid w:val="00B27F84"/>
    <w:rsid w:val="00B473CB"/>
    <w:rsid w:val="00B64D17"/>
    <w:rsid w:val="00BB0852"/>
    <w:rsid w:val="00BC2E35"/>
    <w:rsid w:val="00BC5D15"/>
    <w:rsid w:val="00BC7D3E"/>
    <w:rsid w:val="00BF1B4E"/>
    <w:rsid w:val="00BF24E9"/>
    <w:rsid w:val="00BF550A"/>
    <w:rsid w:val="00C10957"/>
    <w:rsid w:val="00C123BA"/>
    <w:rsid w:val="00C13756"/>
    <w:rsid w:val="00C22970"/>
    <w:rsid w:val="00C249A6"/>
    <w:rsid w:val="00C304B4"/>
    <w:rsid w:val="00C3160E"/>
    <w:rsid w:val="00C34123"/>
    <w:rsid w:val="00C35147"/>
    <w:rsid w:val="00C520C1"/>
    <w:rsid w:val="00C60C6D"/>
    <w:rsid w:val="00C62666"/>
    <w:rsid w:val="00C67E31"/>
    <w:rsid w:val="00C873AC"/>
    <w:rsid w:val="00C95E81"/>
    <w:rsid w:val="00CA294D"/>
    <w:rsid w:val="00CC38F8"/>
    <w:rsid w:val="00CD0658"/>
    <w:rsid w:val="00CD2160"/>
    <w:rsid w:val="00CD2F97"/>
    <w:rsid w:val="00CE6FEC"/>
    <w:rsid w:val="00CE7434"/>
    <w:rsid w:val="00D239E0"/>
    <w:rsid w:val="00D27CBB"/>
    <w:rsid w:val="00D31D17"/>
    <w:rsid w:val="00D33D14"/>
    <w:rsid w:val="00D74DCC"/>
    <w:rsid w:val="00D848EE"/>
    <w:rsid w:val="00D84B7A"/>
    <w:rsid w:val="00DA37F8"/>
    <w:rsid w:val="00E15202"/>
    <w:rsid w:val="00E401AE"/>
    <w:rsid w:val="00E40324"/>
    <w:rsid w:val="00E521D9"/>
    <w:rsid w:val="00E56775"/>
    <w:rsid w:val="00E5752F"/>
    <w:rsid w:val="00E65452"/>
    <w:rsid w:val="00EB4354"/>
    <w:rsid w:val="00ED7E57"/>
    <w:rsid w:val="00F17B8F"/>
    <w:rsid w:val="00F30D20"/>
    <w:rsid w:val="00F314BE"/>
    <w:rsid w:val="00F34869"/>
    <w:rsid w:val="00F37402"/>
    <w:rsid w:val="00F50F54"/>
    <w:rsid w:val="00F55D06"/>
    <w:rsid w:val="00F55FA8"/>
    <w:rsid w:val="00F72E9C"/>
    <w:rsid w:val="00F73D2B"/>
    <w:rsid w:val="00FA2EE4"/>
    <w:rsid w:val="00FB39E1"/>
    <w:rsid w:val="00FC447C"/>
    <w:rsid w:val="00FC481E"/>
    <w:rsid w:val="00FE40C4"/>
    <w:rsid w:val="00FF0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7D8AD6"/>
  <w15:chartTrackingRefBased/>
  <w15:docId w15:val="{487FE406-270E-4568-A993-F1CA1FD7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link w:val="KommentartextZchn"/>
    <w:semiHidden/>
  </w:style>
  <w:style w:type="character" w:customStyle="1" w:styleId="SMCDELETE">
    <w:name w:val="SMC_DELETE"/>
    <w:rsid w:val="006F22EC"/>
    <w:rPr>
      <w:b/>
      <w:i/>
      <w:effect w:val="none"/>
    </w:rPr>
  </w:style>
  <w:style w:type="character" w:customStyle="1" w:styleId="SMCDELETEBI">
    <w:name w:val="SMC_DELETE_BI"/>
    <w:rsid w:val="006F22EC"/>
    <w:rPr>
      <w:b/>
      <w:i/>
      <w:u w:color="FF0000"/>
      <w:effect w:val="none"/>
    </w:rPr>
  </w:style>
  <w:style w:type="character" w:customStyle="1" w:styleId="SMCSCHWARZ">
    <w:name w:val="SMC_SCHWARZ"/>
    <w:rsid w:val="006F22EC"/>
    <w:rPr>
      <w:effect w:val="none"/>
    </w:rPr>
  </w:style>
  <w:style w:type="character" w:customStyle="1" w:styleId="SMCSCHWARZBI">
    <w:name w:val="SMC_SCHWARZ_BI"/>
    <w:rsid w:val="006F22EC"/>
    <w:rPr>
      <w:color w:val="FF0000"/>
      <w:effect w:val="none"/>
    </w:rPr>
  </w:style>
  <w:style w:type="paragraph" w:styleId="Kommentarthema">
    <w:name w:val="annotation subject"/>
    <w:basedOn w:val="Kommentartext"/>
    <w:next w:val="Kommentartext"/>
    <w:link w:val="KommentarthemaZchn"/>
    <w:rsid w:val="005D43D7"/>
    <w:rPr>
      <w:b/>
      <w:bCs/>
      <w:sz w:val="20"/>
    </w:rPr>
  </w:style>
  <w:style w:type="character" w:customStyle="1" w:styleId="KommentartextZchn">
    <w:name w:val="Kommentartext Zchn"/>
    <w:link w:val="Kommentartext"/>
    <w:semiHidden/>
    <w:rsid w:val="005D43D7"/>
    <w:rPr>
      <w:rFonts w:ascii="Arial" w:hAnsi="Arial"/>
      <w:sz w:val="22"/>
    </w:rPr>
  </w:style>
  <w:style w:type="character" w:customStyle="1" w:styleId="KommentarthemaZchn">
    <w:name w:val="Kommentarthema Zchn"/>
    <w:link w:val="Kommentarthema"/>
    <w:rsid w:val="005D43D7"/>
    <w:rPr>
      <w:rFonts w:ascii="Arial" w:hAnsi="Arial"/>
      <w:b/>
      <w:bCs/>
      <w:sz w:val="22"/>
    </w:rPr>
  </w:style>
  <w:style w:type="character" w:customStyle="1" w:styleId="KopfzeileZchn">
    <w:name w:val="Kopfzeile Zchn"/>
    <w:link w:val="Kopfzeile"/>
    <w:uiPriority w:val="99"/>
    <w:rsid w:val="00C13756"/>
    <w:rPr>
      <w:rFonts w:ascii="Arial" w:hAnsi="Arial"/>
      <w:sz w:val="22"/>
    </w:rPr>
  </w:style>
  <w:style w:type="paragraph" w:styleId="Listenabsatz">
    <w:name w:val="List Paragraph"/>
    <w:basedOn w:val="Standard"/>
    <w:uiPriority w:val="34"/>
    <w:qFormat/>
    <w:rsid w:val="000C6B90"/>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8936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Beschlussvorlage</vt:lpstr>
    </vt:vector>
  </TitlesOfParts>
  <Company>Fa. SOMACOS GmbH &amp; Co. KG</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Beschlussvorlage</dc:title>
  <dc:subject>Vorlage</dc:subject>
  <dc:creator>Zejfert, Johannes</dc:creator>
  <cp:keywords/>
  <cp:lastModifiedBy>Anke Widow</cp:lastModifiedBy>
  <cp:revision>2</cp:revision>
  <cp:lastPrinted>2023-08-14T10:57:00Z</cp:lastPrinted>
  <dcterms:created xsi:type="dcterms:W3CDTF">2023-08-15T08:10:00Z</dcterms:created>
  <dcterms:modified xsi:type="dcterms:W3CDTF">2023-08-15T08:10:00Z</dcterms:modified>
</cp:coreProperties>
</file>